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84F41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中共广西壮族自治区委员会</w:t>
      </w:r>
    </w:p>
    <w:p w14:paraId="16249D6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老干部局</w:t>
      </w:r>
      <w:r>
        <w:rPr>
          <w:rFonts w:hint="eastAsia"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年部门预算</w:t>
      </w:r>
      <w:r>
        <w:rPr>
          <w:rFonts w:hint="default" w:ascii="Times New Roman" w:hAnsi="Times New Roman" w:eastAsia="方正小标宋简体" w:cs="Times New Roman"/>
          <w:sz w:val="44"/>
          <w:szCs w:val="44"/>
          <w:lang w:eastAsia="zh-CN"/>
        </w:rPr>
        <w:t>公开</w:t>
      </w:r>
      <w:r>
        <w:rPr>
          <w:rFonts w:hint="eastAsia" w:ascii="Times New Roman" w:hAnsi="Times New Roman" w:eastAsia="方正小标宋简体" w:cs="Times New Roman"/>
          <w:sz w:val="44"/>
          <w:szCs w:val="44"/>
          <w:lang w:eastAsia="zh-CN"/>
        </w:rPr>
        <w:t>说明</w:t>
      </w:r>
    </w:p>
    <w:bookmarkEnd w:id="0"/>
    <w:p w14:paraId="17219794">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079812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14:paraId="335639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第一部分：部门概况</w:t>
      </w:r>
    </w:p>
    <w:p w14:paraId="0D4035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主要职</w:t>
      </w:r>
      <w:r>
        <w:rPr>
          <w:rFonts w:hint="eastAsia" w:ascii="Times New Roman" w:hAnsi="Times New Roman" w:eastAsia="仿宋_GB2312" w:cs="Times New Roman"/>
          <w:sz w:val="32"/>
          <w:szCs w:val="32"/>
          <w:lang w:eastAsia="zh-CN"/>
        </w:rPr>
        <w:t>能</w:t>
      </w:r>
    </w:p>
    <w:p w14:paraId="397404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eastAsia="zh-CN"/>
        </w:rPr>
        <w:t>情况</w:t>
      </w:r>
    </w:p>
    <w:p w14:paraId="102D1A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部分：自治区党委老干部局</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年部门预算情况说明</w:t>
      </w:r>
    </w:p>
    <w:p w14:paraId="15E5BB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收支</w:t>
      </w:r>
      <w:r>
        <w:rPr>
          <w:rFonts w:hint="eastAsia" w:ascii="Times New Roman" w:hAnsi="Times New Roman" w:eastAsia="仿宋_GB2312" w:cs="Times New Roman"/>
          <w:sz w:val="32"/>
          <w:szCs w:val="32"/>
          <w:lang w:eastAsia="zh-CN"/>
        </w:rPr>
        <w:t>增减变化</w:t>
      </w:r>
      <w:r>
        <w:rPr>
          <w:rFonts w:hint="default" w:ascii="Times New Roman" w:hAnsi="Times New Roman" w:eastAsia="仿宋_GB2312" w:cs="Times New Roman"/>
          <w:sz w:val="32"/>
          <w:szCs w:val="32"/>
        </w:rPr>
        <w:t>情况说明</w:t>
      </w:r>
    </w:p>
    <w:p w14:paraId="77FB2C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7E28EF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53FE4857">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政府性基金预算支出</w:t>
      </w:r>
      <w:r>
        <w:rPr>
          <w:rFonts w:hint="default" w:ascii="Times New Roman" w:hAnsi="Times New Roman" w:eastAsia="仿宋_GB2312" w:cs="Times New Roman"/>
          <w:sz w:val="32"/>
          <w:szCs w:val="32"/>
        </w:rPr>
        <w:t>情况说明</w:t>
      </w:r>
    </w:p>
    <w:p w14:paraId="73946A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预算支出情况说明</w:t>
      </w:r>
    </w:p>
    <w:p w14:paraId="1BC222B7">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支出情况说明</w:t>
      </w:r>
    </w:p>
    <w:p w14:paraId="5AE4145E">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机关运行经费安排</w:t>
      </w:r>
      <w:r>
        <w:rPr>
          <w:rFonts w:hint="default" w:ascii="Times New Roman" w:hAnsi="Times New Roman" w:eastAsia="仿宋_GB2312" w:cs="Times New Roman"/>
          <w:sz w:val="32"/>
          <w:szCs w:val="32"/>
        </w:rPr>
        <w:t>情况说明</w:t>
      </w:r>
    </w:p>
    <w:p w14:paraId="4CA330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八、政府</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eastAsia="zh-CN"/>
        </w:rPr>
        <w:t>情况说明</w:t>
      </w:r>
    </w:p>
    <w:p w14:paraId="4362ADE8">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九、国有</w:t>
      </w:r>
      <w:r>
        <w:rPr>
          <w:rFonts w:hint="eastAsia" w:ascii="Times New Roman" w:hAnsi="Times New Roman" w:eastAsia="仿宋_GB2312" w:cs="Times New Roman"/>
          <w:sz w:val="32"/>
          <w:szCs w:val="32"/>
          <w:lang w:val="en-US" w:eastAsia="zh-CN"/>
        </w:rPr>
        <w:t>资产占用</w:t>
      </w:r>
      <w:r>
        <w:rPr>
          <w:rFonts w:hint="default" w:ascii="Times New Roman" w:hAnsi="Times New Roman" w:eastAsia="仿宋_GB2312" w:cs="Times New Roman"/>
          <w:sz w:val="32"/>
          <w:szCs w:val="32"/>
          <w:lang w:val="en-US" w:eastAsia="zh-CN"/>
        </w:rPr>
        <w:t>情况说明</w:t>
      </w:r>
    </w:p>
    <w:p w14:paraId="2F1892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预算绩效目标</w:t>
      </w:r>
      <w:r>
        <w:rPr>
          <w:rFonts w:hint="default" w:ascii="Times New Roman" w:hAnsi="Times New Roman" w:eastAsia="仿宋_GB2312" w:cs="Times New Roman"/>
          <w:sz w:val="32"/>
          <w:szCs w:val="32"/>
          <w:lang w:eastAsia="zh-CN"/>
        </w:rPr>
        <w:t>情况说明</w:t>
      </w:r>
    </w:p>
    <w:p w14:paraId="5669FF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部分：名词解释</w:t>
      </w:r>
    </w:p>
    <w:p w14:paraId="45A3BE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部分：自治区党委老干部局</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年部门预算报表</w:t>
      </w:r>
    </w:p>
    <w:p w14:paraId="7348BF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部门收支总体情况表</w:t>
      </w:r>
    </w:p>
    <w:p w14:paraId="0BD121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部门收入总体情况表</w:t>
      </w:r>
    </w:p>
    <w:p w14:paraId="3DAC77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部门支出总体情况表</w:t>
      </w:r>
    </w:p>
    <w:p w14:paraId="3238A2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财政拨款收支总体情况表</w:t>
      </w:r>
    </w:p>
    <w:p w14:paraId="74112C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一般公共预算支出情况表</w:t>
      </w:r>
    </w:p>
    <w:p w14:paraId="395A55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rPr>
        <w:t>一般公共预算基本支出情况表</w:t>
      </w:r>
    </w:p>
    <w:p w14:paraId="61C1DE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7 </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p>
    <w:p w14:paraId="40F631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8 </w:t>
      </w:r>
      <w:r>
        <w:rPr>
          <w:rFonts w:hint="default" w:ascii="Times New Roman" w:hAnsi="Times New Roman" w:eastAsia="仿宋_GB2312" w:cs="Times New Roman"/>
          <w:sz w:val="32"/>
          <w:szCs w:val="32"/>
        </w:rPr>
        <w:t>政府性基金预算支出情况表</w:t>
      </w:r>
    </w:p>
    <w:p w14:paraId="001D98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9 </w:t>
      </w:r>
      <w:r>
        <w:rPr>
          <w:rFonts w:hint="default" w:ascii="Times New Roman" w:hAnsi="Times New Roman" w:eastAsia="仿宋_GB2312" w:cs="Times New Roman"/>
          <w:sz w:val="32"/>
          <w:szCs w:val="32"/>
          <w:lang w:eastAsia="zh-CN"/>
        </w:rPr>
        <w:t>国有资本经营预算支出情况表</w:t>
      </w:r>
    </w:p>
    <w:p w14:paraId="32A02F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表10 自治区本级</w:t>
      </w:r>
      <w:r>
        <w:rPr>
          <w:rFonts w:hint="default" w:ascii="Times New Roman" w:hAnsi="Times New Roman" w:eastAsia="仿宋_GB2312" w:cs="Times New Roman"/>
          <w:sz w:val="32"/>
          <w:szCs w:val="32"/>
          <w:lang w:val="en-US" w:eastAsia="zh-CN"/>
        </w:rPr>
        <w:t>项目绩效目标公开表</w:t>
      </w:r>
    </w:p>
    <w:p w14:paraId="3A6148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val="en-US" w:eastAsia="zh-CN"/>
        </w:rPr>
        <w:t>表11 自治区</w:t>
      </w:r>
      <w:r>
        <w:rPr>
          <w:rFonts w:hint="default" w:ascii="Times New Roman" w:hAnsi="Times New Roman" w:eastAsia="仿宋_GB2312" w:cs="Times New Roman"/>
          <w:sz w:val="32"/>
          <w:szCs w:val="32"/>
          <w:lang w:val="en-US" w:eastAsia="zh-CN"/>
        </w:rPr>
        <w:t>对下转移支付项目绩效目标公开表</w:t>
      </w:r>
    </w:p>
    <w:p w14:paraId="26BE9C43">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14:paraId="384FE39F">
      <w:pPr>
        <w:pStyle w:val="2"/>
        <w:rPr>
          <w:rFonts w:hint="default" w:ascii="Times New Roman" w:hAnsi="Times New Roman" w:eastAsia="仿宋_GB2312" w:cs="Times New Roman"/>
          <w:sz w:val="32"/>
          <w:szCs w:val="32"/>
          <w:lang w:val="en-US" w:eastAsia="zh-CN"/>
        </w:rPr>
      </w:pPr>
    </w:p>
    <w:p w14:paraId="6613A698">
      <w:pPr>
        <w:rPr>
          <w:rFonts w:hint="default" w:ascii="Times New Roman" w:hAnsi="Times New Roman" w:eastAsia="仿宋_GB2312" w:cs="Times New Roman"/>
          <w:sz w:val="32"/>
          <w:szCs w:val="32"/>
          <w:lang w:val="en-US" w:eastAsia="zh-CN"/>
        </w:rPr>
      </w:pPr>
    </w:p>
    <w:p w14:paraId="40A96660">
      <w:pPr>
        <w:pStyle w:val="2"/>
        <w:rPr>
          <w:rFonts w:hint="default" w:ascii="Times New Roman" w:hAnsi="Times New Roman" w:eastAsia="仿宋_GB2312" w:cs="Times New Roman"/>
          <w:sz w:val="32"/>
          <w:szCs w:val="32"/>
          <w:lang w:val="en-US" w:eastAsia="zh-CN"/>
        </w:rPr>
      </w:pPr>
    </w:p>
    <w:p w14:paraId="26959BA6">
      <w:pPr>
        <w:rPr>
          <w:rFonts w:hint="default" w:ascii="Times New Roman" w:hAnsi="Times New Roman" w:eastAsia="仿宋_GB2312" w:cs="Times New Roman"/>
          <w:sz w:val="32"/>
          <w:szCs w:val="32"/>
          <w:lang w:val="en-US" w:eastAsia="zh-CN"/>
        </w:rPr>
      </w:pPr>
    </w:p>
    <w:p w14:paraId="5F1D0146">
      <w:pPr>
        <w:pStyle w:val="2"/>
        <w:rPr>
          <w:rFonts w:hint="default" w:ascii="Times New Roman" w:hAnsi="Times New Roman" w:eastAsia="仿宋_GB2312" w:cs="Times New Roman"/>
          <w:sz w:val="32"/>
          <w:szCs w:val="32"/>
          <w:lang w:val="en-US" w:eastAsia="zh-CN"/>
        </w:rPr>
      </w:pPr>
    </w:p>
    <w:p w14:paraId="4F3DD3D9">
      <w:pPr>
        <w:pStyle w:val="2"/>
        <w:rPr>
          <w:rFonts w:hint="default" w:ascii="Times New Roman" w:hAnsi="Times New Roman" w:eastAsia="仿宋_GB2312" w:cs="Times New Roman"/>
          <w:sz w:val="32"/>
          <w:szCs w:val="32"/>
          <w:lang w:val="en-US" w:eastAsia="zh-CN"/>
        </w:rPr>
      </w:pPr>
    </w:p>
    <w:p w14:paraId="1D1954EC">
      <w:pPr>
        <w:rPr>
          <w:rFonts w:hint="default" w:ascii="Times New Roman" w:hAnsi="Times New Roman" w:cs="Times New Roman"/>
          <w:lang w:val="en-US" w:eastAsia="zh-CN"/>
        </w:rPr>
      </w:pPr>
    </w:p>
    <w:p w14:paraId="79AD62B1">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2723F0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sectPr>
          <w:footerReference r:id="rId3" w:type="default"/>
          <w:pgSz w:w="11906" w:h="16838"/>
          <w:pgMar w:top="1984" w:right="1417" w:bottom="1417" w:left="1417" w:header="851" w:footer="992" w:gutter="0"/>
          <w:pgNumType w:fmt="numberInDash"/>
          <w:cols w:space="720" w:num="1"/>
          <w:rtlGutter w:val="0"/>
          <w:docGrid w:type="lines" w:linePitch="312" w:charSpace="0"/>
        </w:sectPr>
      </w:pPr>
    </w:p>
    <w:p w14:paraId="288009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p>
    <w:p w14:paraId="300C14B0">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一、主要职责</w:t>
      </w:r>
    </w:p>
    <w:p w14:paraId="6F5BE8A0">
      <w:pPr>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color w:val="666666"/>
          <w:sz w:val="31"/>
          <w:szCs w:val="31"/>
        </w:rPr>
        <w:t> </w:t>
      </w:r>
      <w:r>
        <w:rPr>
          <w:rFonts w:hint="default" w:ascii="Times New Roman" w:hAnsi="Times New Roman" w:cs="Times New Roman"/>
          <w:color w:val="666666"/>
          <w:sz w:val="31"/>
          <w:szCs w:val="31"/>
          <w:lang w:val="en-US" w:eastAsia="zh-CN"/>
        </w:rPr>
        <w:t xml:space="preserve"> </w:t>
      </w:r>
      <w:r>
        <w:rPr>
          <w:rFonts w:hint="eastAsia" w:ascii="Times New Roman" w:hAnsi="Times New Roman" w:eastAsia="仿宋_GB2312" w:cs="Times New Roman"/>
          <w:kern w:val="2"/>
          <w:sz w:val="32"/>
          <w:szCs w:val="32"/>
          <w:lang w:val="en-US" w:eastAsia="zh-CN" w:bidi="ar-SA"/>
        </w:rPr>
        <w:t>（一）宣传、贯彻、落实党中央、国务院和自治区党委、自治区人民政府关于老干部工作的方针、政策，研究制定我区的实施办法，并对落实情况进行督促检查。</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二）指导协调各地各部门加强离退休干部思想政治工作，督促指导各地各部门落实离退休干部党建工作责任，制定加强全区离退休干部党建工作有关办法措施，开展离退休干部党建工作调查研究，向自治区党委提出加强和改进相关工作的建议。</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（三）检查、督促、协调有关部门落实老干部政治、生活待遇，做好易地安置离休干部的服务工作，做好离休干部提高待遇审批和来信来访工作。</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（四）督促指导各地各部门做好老干部服务管理工作。</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（五）指导各地各部门加强和创新离退休干部文化建设，组织指导老干部开展各类文体活动，指导各级老年大学、老干部活动中心建设。</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（六）组织指导开展相关活动，引导离退休干部发挥优势作用，继续为经济社会发展作贡献。</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（七）组织开展老干部工作新情况新问题的调查研究，及时提出建议，为自治区党委、自治区人民政府制定有关政策提供决策参考。</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（八）组织指导老干部工作部门的干部培训工作，研究制定加强全区老干部工作部门自身建设的办法措施。</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（九）完成自治区党委交办的其他任务。</w:t>
      </w:r>
    </w:p>
    <w:p w14:paraId="6300EE4E">
      <w:pPr>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rPr>
        <w:t>二、机构设置</w:t>
      </w:r>
      <w:r>
        <w:rPr>
          <w:rFonts w:hint="eastAsia" w:ascii="Times New Roman" w:hAnsi="Times New Roman" w:eastAsia="黑体" w:cs="Times New Roman"/>
          <w:sz w:val="32"/>
          <w:szCs w:val="32"/>
          <w:lang w:eastAsia="zh-CN"/>
        </w:rPr>
        <w:t>情况</w:t>
      </w:r>
    </w:p>
    <w:p w14:paraId="07D0B4D9">
      <w:pPr>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部门内设机构情况</w:t>
      </w:r>
    </w:p>
    <w:p w14:paraId="75FB8008">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自治区党委办公厅</w:t>
      </w:r>
      <w:r>
        <w:rPr>
          <w:rFonts w:hint="eastAsia"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rPr>
        <w:t>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中共广西壮族自治区委员会老干部局职能配置内设机构和人员编制规定</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（厅发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自治区党委老干部局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内设机构</w:t>
      </w:r>
      <w:r>
        <w:rPr>
          <w:rFonts w:hint="default" w:ascii="Times New Roman" w:hAnsi="Times New Roman" w:eastAsia="仿宋_GB2312" w:cs="Times New Roman"/>
          <w:sz w:val="32"/>
          <w:szCs w:val="32"/>
          <w:lang w:eastAsia="zh-CN"/>
        </w:rPr>
        <w:t>设置为</w:t>
      </w:r>
      <w:r>
        <w:rPr>
          <w:rFonts w:hint="default" w:ascii="Times New Roman" w:hAnsi="Times New Roman" w:eastAsia="仿宋_GB2312" w:cs="Times New Roman"/>
          <w:sz w:val="32"/>
          <w:szCs w:val="32"/>
        </w:rPr>
        <w:t>：办公室、党建工作处、服务指导处、文化建设处、宣传调研处、自治区关心下一代工作委员会办公室、机关党委共7个处（室）。</w:t>
      </w:r>
      <w:r>
        <w:rPr>
          <w:rFonts w:hint="eastAsia" w:ascii="Times New Roman" w:hAnsi="Times New Roman" w:eastAsia="仿宋_GB2312" w:cs="Times New Roman"/>
          <w:sz w:val="32"/>
          <w:szCs w:val="32"/>
          <w:lang w:eastAsia="zh-CN"/>
        </w:rPr>
        <w:t>内设机构职能：</w:t>
      </w:r>
    </w:p>
    <w:p w14:paraId="797B49B0">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办公室负责内外联系、综合协调及相关督查工作。承担公文处理、有关文稿起草。负责机关会务、机要、档案、财务、接待、固定资产管理、保密等工作。负责机关后勤、基本建设工作。牵头负责老干部来信来访工作。</w:t>
      </w:r>
    </w:p>
    <w:p w14:paraId="6A1B7AD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党建工作处负责自治区党委离退休干部工作委员会日常工作。指导各地各部门加强和改进离退休干部政治、思想、组织、作风、纪律和制度建设，协调督促推动各地各部门落实离退休干部党建工作责任。督促指导各级各部门贯彻落实中央、自治区党委关于离退休干部党建工作有关政策规定。选树先进典型，总结推广先进经验。组织开展离退休干部党建工作调查研究，提出加强离退休干部党建工作措施办法。组织指导离退休干部党员教育培训工作，督促指导各级老干部党校建设。负责全区离退休干部党员统计工作，建立全区离退休干部党建工作台账和数据库。</w:t>
      </w:r>
    </w:p>
    <w:p w14:paraId="4111FA4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指导处负责检查、督促、协调有关部门落实老干部的“两项”待遇。指导有关单位开展易地安置离休干部的服务管理工作。指导干休所开展离休干部的服务管理工作。承办离休干部荣誉证等有关事宜。协调有关部门做好离休干部医疗保健和医药费的落实工作。组织指导离休干部和省级退休干部健康休养、参观考察。组织指导开展离休干部慰问活动。指导有关单位办理老干部丧事。组织开展困难离休干部及其遗属的帮扶工作。负责离休干部信息的统计管理。</w:t>
      </w:r>
    </w:p>
    <w:p w14:paraId="735B306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文化建设处负责指导各地各部门加强和创新离退休干部文化建设，组织指导开展文体活动。负责离退休干部人才队伍建设，组织引导离退休干部及老年社团组织发挥作用。指导离退休干部教育工作。指导各级老年大学、老干部活动中心建设。组织指导老干部工作部门的综合业务培训。</w:t>
      </w:r>
    </w:p>
    <w:p w14:paraId="32C94C9C">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5.宣传调研处负责老干部方针政策、老干部工作和先进典型的宣传报道。负责老干部工作信息化建设和信息的收集上报。调查研究老干部工作的新情况、新问题，提出解决办法和建议，为领</w:t>
      </w:r>
      <w:r>
        <w:rPr>
          <w:rFonts w:hint="default" w:ascii="Times New Roman" w:hAnsi="Times New Roman" w:eastAsia="仿宋_GB2312" w:cs="Times New Roman"/>
          <w:w w:val="95"/>
          <w:sz w:val="32"/>
          <w:szCs w:val="32"/>
          <w:lang w:val="en-US" w:eastAsia="zh-CN"/>
        </w:rPr>
        <w:t>导决策提供依据。负责老干部工作网站、微信公众平台的维护管理。</w:t>
      </w:r>
    </w:p>
    <w:p w14:paraId="1D2D4BFC">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自治区关心下一代工作委员会办公室负责自治区关心下一代工作委员会日常工作，组织广大老干部、老战士、老专家、老教师、老模范等“五老”人员配合职能部门开展关心下一代工作。负责全区关工委系统业务指导和培训。</w:t>
      </w:r>
    </w:p>
    <w:p w14:paraId="34E29204">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7.机关党委负责机关和直属单位党群工作。负责机关及直属单位人事、工资和干部档案管理工作。牵头负责机关及直属单位绩效工作。负责机关系统干部职工队伍的培训及建设工作。负责机关离退休人员工作。</w:t>
      </w:r>
    </w:p>
    <w:p w14:paraId="7BC14FEE">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（二）部门所属单位情况</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w:t>
      </w:r>
      <w:r>
        <w:rPr>
          <w:rFonts w:hint="default" w:ascii="Times New Roman" w:hAnsi="Times New Roman" w:eastAsia="仿宋_GB2312" w:cs="Times New Roman"/>
          <w:sz w:val="32"/>
          <w:szCs w:val="32"/>
        </w:rPr>
        <w:t>自治区党委老干部局</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年共有</w:t>
      </w:r>
      <w:r>
        <w:rPr>
          <w:rFonts w:hint="eastAsia"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val="en-US" w:eastAsia="zh-CN"/>
        </w:rPr>
        <w:t>单位5个</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val="en-US" w:eastAsia="zh-CN"/>
        </w:rPr>
        <w:t>自治区党委老干部局</w:t>
      </w:r>
      <w:r>
        <w:rPr>
          <w:rFonts w:hint="eastAsia"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rPr>
        <w:t>行政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，广西老年大学（广西老干部活动中心、广西老干部党校）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广西壮族自治区直属机关干部休养所（广西老年大学区直分校、广西老干部党校区直分校）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广西壮族自治区桂林老干部休养所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广西壮族自治区柳州老干部休养所（广西老年大学柳州分校、广西老干部党校柳州分校）</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4个</w:t>
      </w:r>
      <w:r>
        <w:rPr>
          <w:rFonts w:hint="default" w:ascii="Times New Roman" w:hAnsi="Times New Roman" w:eastAsia="仿宋_GB2312" w:cs="Times New Roman"/>
          <w:sz w:val="32"/>
          <w:szCs w:val="32"/>
        </w:rPr>
        <w:t>直属</w:t>
      </w:r>
      <w:r>
        <w:rPr>
          <w:rFonts w:hint="default" w:ascii="Times New Roman" w:hAnsi="Times New Roman" w:eastAsia="仿宋_GB2312" w:cs="Times New Roman"/>
          <w:sz w:val="32"/>
          <w:szCs w:val="32"/>
          <w:lang w:eastAsia="zh-CN"/>
        </w:rPr>
        <w:t>参照公务员管理事业单位（</w:t>
      </w:r>
      <w:r>
        <w:rPr>
          <w:rFonts w:hint="default" w:ascii="Times New Roman" w:hAnsi="Times New Roman" w:eastAsia="仿宋_GB2312" w:cs="Times New Roman"/>
          <w:sz w:val="32"/>
          <w:szCs w:val="32"/>
        </w:rPr>
        <w:t>公益一类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所属单位职能：</w:t>
      </w:r>
    </w:p>
    <w:p w14:paraId="27B43D99">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kern w:val="2"/>
          <w:sz w:val="32"/>
          <w:szCs w:val="32"/>
          <w:lang w:val="en-US" w:eastAsia="zh-CN" w:bidi="ar-SA"/>
        </w:rPr>
        <w:t>广西老年大学主要职能是承担自治区本级老年教育工作，组</w:t>
      </w:r>
      <w:r>
        <w:rPr>
          <w:rFonts w:hint="default" w:ascii="Times New Roman" w:hAnsi="Times New Roman" w:eastAsia="仿宋_GB2312" w:cs="Times New Roman"/>
          <w:sz w:val="32"/>
          <w:szCs w:val="32"/>
          <w:lang w:val="en-US" w:eastAsia="zh-CN"/>
        </w:rPr>
        <w:t>织开展离退休干部文体活动和离退休干部党员骨干培训工作。</w:t>
      </w:r>
    </w:p>
    <w:p w14:paraId="7FA5BDE9">
      <w:pPr>
        <w:ind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2.广西壮族自治区直属机关干部休养所主要职能是为离休干</w:t>
      </w:r>
      <w:r>
        <w:rPr>
          <w:rFonts w:hint="eastAsia" w:ascii="Times New Roman" w:hAnsi="Times New Roman" w:eastAsia="仿宋_GB2312" w:cs="Times New Roman"/>
          <w:kern w:val="2"/>
          <w:sz w:val="32"/>
          <w:szCs w:val="32"/>
          <w:lang w:val="en-US" w:eastAsia="zh-CN" w:bidi="ar-SA"/>
        </w:rPr>
        <w:t>部提供服务；承担老年教育和离退休干部党员骨干培训工作。</w:t>
      </w:r>
    </w:p>
    <w:p w14:paraId="6E42887D">
      <w:pPr>
        <w:ind w:firstLine="640" w:firstLineChars="200"/>
        <w:rPr>
          <w:rFonts w:hint="default" w:ascii="Times New Roman" w:hAnsi="Times New Roman" w:eastAsia="仿宋_GB2312" w:cs="Times New Roman"/>
          <w:w w:val="100"/>
          <w:kern w:val="2"/>
          <w:sz w:val="32"/>
          <w:szCs w:val="32"/>
          <w:lang w:val="en-US" w:eastAsia="zh-CN" w:bidi="ar-SA"/>
        </w:rPr>
      </w:pPr>
    </w:p>
    <w:p w14:paraId="50EFD00C">
      <w:pPr>
        <w:ind w:firstLine="608"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w w:val="95"/>
          <w:kern w:val="2"/>
          <w:sz w:val="32"/>
          <w:szCs w:val="32"/>
          <w:lang w:val="en-US" w:eastAsia="zh-CN" w:bidi="ar-SA"/>
        </w:rPr>
        <w:t>3.</w:t>
      </w:r>
      <w:r>
        <w:rPr>
          <w:rFonts w:hint="default" w:ascii="Times New Roman" w:hAnsi="Times New Roman" w:eastAsia="仿宋_GB2312" w:cs="Times New Roman"/>
          <w:w w:val="100"/>
          <w:kern w:val="2"/>
          <w:sz w:val="32"/>
          <w:szCs w:val="32"/>
          <w:lang w:val="en-US" w:eastAsia="zh-CN" w:bidi="ar-SA"/>
        </w:rPr>
        <w:t>广西壮族自治区桂林老干部休养所的</w:t>
      </w:r>
      <w:r>
        <w:rPr>
          <w:rFonts w:hint="eastAsia" w:ascii="Times New Roman" w:hAnsi="Times New Roman" w:eastAsia="仿宋_GB2312" w:cs="Times New Roman"/>
          <w:w w:val="100"/>
          <w:kern w:val="2"/>
          <w:sz w:val="32"/>
          <w:szCs w:val="32"/>
          <w:lang w:val="en-US" w:eastAsia="zh-CN" w:bidi="ar-SA"/>
        </w:rPr>
        <w:t>主要职责是贯彻落实党和政府的老干部工作方针、政策和有关规定，落实好老干部的政治待遇、生活待遇，承担住所老干部的服务和管理工作；协助住所老干部原工作单位落实老干部的各项待遇，为住所老干部排忧解难；做好住所老干部的思想政治工作，支持老干部参加力所能及的社会活动，组织老干部就地就近参观工农业生产建设项目，</w:t>
      </w:r>
      <w:r>
        <w:rPr>
          <w:rFonts w:hint="default" w:ascii="Times New Roman" w:hAnsi="Times New Roman" w:eastAsia="仿宋_GB2312" w:cs="Times New Roman"/>
          <w:sz w:val="32"/>
          <w:szCs w:val="32"/>
          <w:lang w:val="en-US" w:eastAsia="zh-CN"/>
        </w:rPr>
        <w:t>发挥老干部在“三个文明”建设中的作用。</w:t>
      </w:r>
    </w:p>
    <w:p w14:paraId="0E863DE3">
      <w:pPr>
        <w:ind w:firstLine="640" w:firstLineChars="200"/>
        <w:rPr>
          <w:rFonts w:hint="eastAsia" w:ascii="Times New Roman" w:hAnsi="Times New Roman" w:eastAsia="仿宋_GB2312" w:cs="Times New Roman"/>
          <w:w w:val="100"/>
          <w:kern w:val="2"/>
          <w:sz w:val="32"/>
          <w:szCs w:val="32"/>
          <w:lang w:val="en-US" w:eastAsia="zh-CN" w:bidi="ar-SA"/>
        </w:rPr>
      </w:pPr>
      <w:r>
        <w:rPr>
          <w:rFonts w:hint="default" w:ascii="Times New Roman" w:hAnsi="Times New Roman" w:eastAsia="仿宋_GB2312" w:cs="Times New Roman"/>
          <w:sz w:val="32"/>
          <w:szCs w:val="32"/>
          <w:lang w:val="en-US" w:eastAsia="zh-CN"/>
        </w:rPr>
        <w:t>4.广西壮族自治区柳州老干部休养所主要职能是承担老年教</w:t>
      </w:r>
      <w:r>
        <w:rPr>
          <w:rFonts w:hint="eastAsia" w:ascii="Times New Roman" w:hAnsi="Times New Roman" w:eastAsia="仿宋_GB2312" w:cs="Times New Roman"/>
          <w:w w:val="100"/>
          <w:kern w:val="2"/>
          <w:sz w:val="32"/>
          <w:szCs w:val="32"/>
          <w:lang w:val="en-US" w:eastAsia="zh-CN" w:bidi="ar-SA"/>
        </w:rPr>
        <w:t>育和离退休干部党员骨干培训工作。</w:t>
      </w:r>
    </w:p>
    <w:p w14:paraId="452B381F">
      <w:pPr>
        <w:jc w:val="center"/>
        <w:rPr>
          <w:rFonts w:hint="default" w:ascii="Times New Roman" w:hAnsi="Times New Roman" w:eastAsia="黑体" w:cs="Times New Roman"/>
          <w:w w:val="100"/>
          <w:kern w:val="2"/>
          <w:sz w:val="32"/>
          <w:szCs w:val="32"/>
          <w:lang w:val="en-US" w:eastAsia="zh-CN" w:bidi="ar-SA"/>
        </w:rPr>
      </w:pPr>
      <w:r>
        <w:rPr>
          <w:rFonts w:hint="default" w:ascii="Times New Roman" w:hAnsi="Times New Roman" w:eastAsia="黑体" w:cs="Times New Roman"/>
          <w:w w:val="100"/>
          <w:kern w:val="2"/>
          <w:sz w:val="32"/>
          <w:szCs w:val="32"/>
          <w:lang w:val="en-US" w:eastAsia="zh-CN" w:bidi="ar-SA"/>
        </w:rPr>
        <w:t>第二部分  自治区党委老干部局2026年部门预算情况说明</w:t>
      </w:r>
    </w:p>
    <w:p w14:paraId="2B844A65">
      <w:pPr>
        <w:ind w:firstLine="640" w:firstLineChars="200"/>
        <w:rPr>
          <w:rFonts w:hint="default" w:ascii="Times New Roman" w:hAnsi="Times New Roman" w:eastAsia="黑体" w:cs="Times New Roman"/>
          <w:w w:val="100"/>
          <w:kern w:val="2"/>
          <w:sz w:val="32"/>
          <w:szCs w:val="32"/>
          <w:lang w:val="en-US" w:eastAsia="zh-CN" w:bidi="ar-SA"/>
        </w:rPr>
      </w:pPr>
      <w:r>
        <w:rPr>
          <w:rFonts w:hint="default" w:ascii="Times New Roman" w:hAnsi="Times New Roman" w:eastAsia="黑体" w:cs="Times New Roman"/>
          <w:w w:val="100"/>
          <w:kern w:val="2"/>
          <w:sz w:val="32"/>
          <w:szCs w:val="32"/>
          <w:lang w:val="en-US" w:eastAsia="zh-CN" w:bidi="ar-SA"/>
        </w:rPr>
        <w:t>一、部门预算收支增减变化情况说明</w:t>
      </w:r>
    </w:p>
    <w:p w14:paraId="72C590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w w:val="100"/>
          <w:sz w:val="32"/>
          <w:szCs w:val="32"/>
          <w:lang w:eastAsia="zh-CN"/>
        </w:rPr>
        <w:t>我局</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eastAsia" w:ascii="Times New Roman" w:hAnsi="Times New Roman" w:eastAsia="仿宋_GB2312" w:cs="Times New Roman"/>
          <w:w w:val="100"/>
          <w:sz w:val="32"/>
          <w:szCs w:val="32"/>
          <w:lang w:val="en-US" w:eastAsia="zh-CN"/>
        </w:rPr>
        <w:t>6007.60</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eastAsia" w:ascii="Times New Roman" w:hAnsi="Times New Roman" w:eastAsia="仿宋_GB2312" w:cs="Times New Roman"/>
          <w:w w:val="100"/>
          <w:sz w:val="32"/>
          <w:szCs w:val="32"/>
          <w:lang w:val="en-US" w:eastAsia="zh-CN"/>
        </w:rPr>
        <w:t>6007.60</w:t>
      </w:r>
      <w:r>
        <w:rPr>
          <w:rFonts w:hint="default" w:ascii="Times New Roman" w:hAnsi="Times New Roman" w:eastAsia="仿宋_GB2312" w:cs="Times New Roman"/>
          <w:w w:val="100"/>
          <w:sz w:val="32"/>
          <w:szCs w:val="32"/>
          <w:lang w:val="en-US" w:eastAsia="zh-CN"/>
        </w:rPr>
        <w:t>万元</w:t>
      </w:r>
      <w:r>
        <w:rPr>
          <w:rFonts w:hint="default" w:ascii="Times New Roman" w:hAnsi="Times New Roman" w:eastAsia="仿宋_GB2312" w:cs="Times New Roman"/>
          <w:sz w:val="32"/>
          <w:szCs w:val="32"/>
          <w:lang w:val="en-US" w:eastAsia="zh-CN"/>
        </w:rPr>
        <w:t>（不含财政拨款上年未列支结转收支数）</w:t>
      </w:r>
      <w:r>
        <w:rPr>
          <w:rFonts w:hint="default" w:ascii="Times New Roman" w:hAnsi="Times New Roman" w:eastAsia="仿宋_GB2312" w:cs="Times New Roman"/>
          <w:w w:val="100"/>
          <w:sz w:val="32"/>
          <w:szCs w:val="32"/>
          <w:lang w:val="en-US" w:eastAsia="zh-CN"/>
        </w:rPr>
        <w:t>。总收</w:t>
      </w:r>
      <w:r>
        <w:rPr>
          <w:rFonts w:hint="eastAsia"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val="en-US" w:eastAsia="zh-CN"/>
        </w:rPr>
        <w:t>减少18.52万元，下降0.31%</w:t>
      </w:r>
      <w:r>
        <w:rPr>
          <w:rFonts w:hint="eastAsia" w:ascii="Times New Roman" w:hAnsi="Times New Roman" w:eastAsia="仿宋_GB2312" w:cs="Times New Roman"/>
          <w:w w:val="100"/>
          <w:sz w:val="32"/>
          <w:szCs w:val="32"/>
          <w:lang w:eastAsia="zh-CN"/>
        </w:rPr>
        <w:t>。总支出较上年</w:t>
      </w:r>
      <w:r>
        <w:rPr>
          <w:rFonts w:hint="eastAsia" w:ascii="Times New Roman" w:hAnsi="Times New Roman" w:eastAsia="仿宋_GB2312" w:cs="Times New Roman"/>
          <w:w w:val="100"/>
          <w:sz w:val="32"/>
          <w:szCs w:val="32"/>
          <w:lang w:val="en-US" w:eastAsia="zh-CN"/>
        </w:rPr>
        <w:t>减少18.52万元，下降0.31%。</w:t>
      </w:r>
      <w:r>
        <w:rPr>
          <w:rFonts w:hint="default" w:ascii="Times New Roman" w:hAnsi="Times New Roman" w:eastAsia="仿宋_GB2312" w:cs="Times New Roman"/>
          <w:color w:val="auto"/>
          <w:sz w:val="32"/>
          <w:szCs w:val="32"/>
          <w:lang w:eastAsia="zh-CN"/>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color w:val="auto"/>
          <w:sz w:val="32"/>
          <w:szCs w:val="32"/>
          <w:lang w:val="en-US" w:eastAsia="zh-CN"/>
        </w:rPr>
        <w:t>。</w:t>
      </w:r>
    </w:p>
    <w:p w14:paraId="545033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二、部门</w:t>
      </w:r>
      <w:r>
        <w:rPr>
          <w:rFonts w:hint="eastAsia" w:ascii="Times New Roman" w:hAnsi="Times New Roman" w:eastAsia="黑体" w:cs="Times New Roman"/>
          <w:sz w:val="32"/>
          <w:szCs w:val="32"/>
          <w:lang w:val="en-US" w:eastAsia="zh-CN"/>
        </w:rPr>
        <w:t>预算</w:t>
      </w:r>
      <w:r>
        <w:rPr>
          <w:rFonts w:hint="default" w:ascii="Times New Roman" w:hAnsi="Times New Roman" w:eastAsia="黑体" w:cs="Times New Roman"/>
          <w:sz w:val="32"/>
          <w:szCs w:val="32"/>
          <w:lang w:val="en-US" w:eastAsia="zh-CN"/>
        </w:rPr>
        <w:t>收入总体情况说明</w:t>
      </w:r>
    </w:p>
    <w:p w14:paraId="1DAC5E11">
      <w:pPr>
        <w:adjustRightInd w:val="0"/>
        <w:snapToGrid w:val="0"/>
        <w:spacing w:line="59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我局总收入</w:t>
      </w:r>
      <w:r>
        <w:rPr>
          <w:rFonts w:hint="eastAsia" w:ascii="Times New Roman" w:hAnsi="Times New Roman" w:eastAsia="仿宋_GB2312" w:cs="Times New Roman"/>
          <w:sz w:val="32"/>
          <w:szCs w:val="32"/>
          <w:lang w:val="en-US" w:eastAsia="zh-CN"/>
        </w:rPr>
        <w:t>6007.60</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w w:val="100"/>
          <w:sz w:val="32"/>
          <w:szCs w:val="32"/>
          <w:lang w:val="en-US" w:eastAsia="zh-CN"/>
        </w:rPr>
        <w:t>减少18.52万元，下降0.31%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部门收入主要包括：</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一般公共预算收入</w:t>
      </w:r>
      <w:r>
        <w:rPr>
          <w:rFonts w:hint="eastAsia" w:ascii="Times New Roman" w:hAnsi="Times New Roman" w:eastAsia="仿宋_GB2312" w:cs="Times New Roman"/>
          <w:sz w:val="32"/>
          <w:szCs w:val="32"/>
          <w:lang w:val="en-US" w:eastAsia="zh-CN"/>
        </w:rPr>
        <w:t>5982.60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较上年减少19.42</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下降</w:t>
      </w:r>
      <w:r>
        <w:rPr>
          <w:rFonts w:hint="eastAsia" w:ascii="Times New Roman" w:hAnsi="Times New Roman" w:eastAsia="仿宋_GB2312" w:cs="Times New Roman"/>
          <w:w w:val="100"/>
          <w:sz w:val="32"/>
          <w:szCs w:val="32"/>
          <w:lang w:val="en-US" w:eastAsia="zh-CN"/>
        </w:rPr>
        <w:t>0.32%</w:t>
      </w:r>
      <w:r>
        <w:rPr>
          <w:rFonts w:hint="eastAsia" w:ascii="Times New Roman" w:hAnsi="Times New Roman" w:eastAsia="仿宋_GB2312" w:cs="Times New Roman"/>
          <w:sz w:val="32"/>
          <w:szCs w:val="32"/>
          <w:lang w:val="en-US" w:eastAsia="zh-CN"/>
        </w:rPr>
        <w:t>，占本年预算收入99.58%；</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单位资金收入</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lang w:val="en-US" w:eastAsia="zh-CN"/>
        </w:rPr>
        <w:t>上年</w:t>
      </w:r>
      <w:r>
        <w:rPr>
          <w:rFonts w:hint="eastAsia" w:ascii="Times New Roman" w:hAnsi="Times New Roman" w:eastAsia="仿宋_GB2312" w:cs="Times New Roman"/>
          <w:sz w:val="32"/>
          <w:szCs w:val="32"/>
          <w:lang w:val="en-US" w:eastAsia="zh-CN"/>
        </w:rPr>
        <w:t>增加0.90万元，增长3.73%，占本年预算收入0.42%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其中：</w:t>
      </w:r>
    </w:p>
    <w:p w14:paraId="475E30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自治区党委老干部局本级</w:t>
      </w:r>
      <w:r>
        <w:rPr>
          <w:rFonts w:hint="default"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1749.57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较上年减</w:t>
      </w:r>
      <w:r>
        <w:rPr>
          <w:rFonts w:hint="default" w:ascii="Times New Roman" w:hAnsi="Times New Roman" w:eastAsia="仿宋_GB2312" w:cs="Times New Roman"/>
          <w:w w:val="95"/>
          <w:sz w:val="32"/>
          <w:szCs w:val="32"/>
          <w:lang w:eastAsia="zh-CN"/>
        </w:rPr>
        <w:t>少</w:t>
      </w:r>
      <w:r>
        <w:rPr>
          <w:rFonts w:hint="eastAsia" w:ascii="Times New Roman" w:hAnsi="Times New Roman" w:eastAsia="仿宋_GB2312" w:cs="Times New Roman"/>
          <w:w w:val="95"/>
          <w:sz w:val="32"/>
          <w:szCs w:val="32"/>
          <w:lang w:val="en-US" w:eastAsia="zh-CN"/>
        </w:rPr>
        <w:t>10.25万元，下降0.58%</w:t>
      </w:r>
      <w:r>
        <w:rPr>
          <w:rFonts w:hint="default" w:ascii="Times New Roman" w:hAnsi="Times New Roman" w:eastAsia="仿宋_GB2312" w:cs="Times New Roman"/>
          <w:w w:val="95"/>
          <w:sz w:val="32"/>
          <w:szCs w:val="32"/>
          <w:lang w:val="en-US" w:eastAsia="zh-CN"/>
        </w:rPr>
        <w:t>。</w:t>
      </w:r>
      <w:r>
        <w:rPr>
          <w:rFonts w:hint="default" w:ascii="Times New Roman" w:hAnsi="Times New Roman" w:eastAsia="仿宋_GB2312" w:cs="Times New Roman"/>
          <w:color w:val="auto"/>
          <w:w w:val="95"/>
          <w:sz w:val="32"/>
          <w:szCs w:val="32"/>
          <w:lang w:val="en-US" w:eastAsia="zh-CN"/>
        </w:rPr>
        <w:t>主要原因</w:t>
      </w:r>
      <w:r>
        <w:rPr>
          <w:rFonts w:hint="eastAsia" w:ascii="Times New Roman" w:hAnsi="Times New Roman" w:eastAsia="仿宋_GB2312" w:cs="Times New Roman"/>
          <w:color w:val="auto"/>
          <w:w w:val="95"/>
          <w:sz w:val="32"/>
          <w:szCs w:val="32"/>
          <w:lang w:val="en-US" w:eastAsia="zh-CN"/>
        </w:rPr>
        <w:t>：上年有一次性</w:t>
      </w:r>
      <w:r>
        <w:rPr>
          <w:rFonts w:hint="eastAsia" w:ascii="Times New Roman" w:hAnsi="Times New Roman" w:eastAsia="仿宋_GB2312" w:cs="Times New Roman"/>
          <w:color w:val="auto"/>
          <w:w w:val="95"/>
          <w:sz w:val="32"/>
          <w:szCs w:val="32"/>
          <w:lang w:eastAsia="zh-CN"/>
        </w:rPr>
        <w:t>项目经费</w:t>
      </w:r>
      <w:r>
        <w:rPr>
          <w:rFonts w:hint="eastAsia" w:ascii="Times New Roman" w:hAnsi="Times New Roman" w:eastAsia="仿宋_GB2312" w:cs="Times New Roman"/>
          <w:color w:val="auto"/>
          <w:w w:val="95"/>
          <w:sz w:val="32"/>
          <w:szCs w:val="32"/>
          <w:lang w:val="en-US" w:eastAsia="zh-CN"/>
        </w:rPr>
        <w:t>预算</w:t>
      </w:r>
      <w:r>
        <w:rPr>
          <w:rFonts w:hint="default" w:ascii="Times New Roman" w:hAnsi="Times New Roman" w:eastAsia="仿宋_GB2312" w:cs="Times New Roman"/>
          <w:w w:val="95"/>
          <w:sz w:val="32"/>
          <w:szCs w:val="32"/>
          <w:lang w:eastAsia="zh-CN"/>
        </w:rPr>
        <w:t>。</w:t>
      </w:r>
    </w:p>
    <w:p w14:paraId="6ED8766F">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广西老年大学</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2840.45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w:t>
      </w:r>
      <w:r>
        <w:rPr>
          <w:rFonts w:hint="eastAsia" w:ascii="Times New Roman" w:hAnsi="Times New Roman" w:eastAsia="仿宋_GB2312" w:cs="Times New Roman"/>
          <w:sz w:val="32"/>
          <w:szCs w:val="32"/>
          <w:lang w:val="en-US" w:eastAsia="zh-CN"/>
        </w:rPr>
        <w:t>减少31.68万元，下降1.10%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color w:val="auto"/>
          <w:sz w:val="32"/>
          <w:szCs w:val="32"/>
          <w:lang w:val="en-US" w:eastAsia="zh-CN"/>
        </w:rPr>
        <w:t>。</w:t>
      </w:r>
    </w:p>
    <w:p w14:paraId="7DEBE2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广西壮族自治区直属机关干部休养所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603.68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84.75万元，增</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16.33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一是增加广西老年大学直属分校教室改造项目经费预算35.40万元预算；二是</w:t>
      </w:r>
      <w:r>
        <w:rPr>
          <w:rFonts w:hint="default" w:ascii="Times New Roman" w:hAnsi="Times New Roman" w:eastAsia="仿宋_GB2312" w:cs="Times New Roman"/>
          <w:color w:val="auto"/>
          <w:sz w:val="32"/>
          <w:szCs w:val="32"/>
          <w:lang w:eastAsia="zh-CN"/>
        </w:rPr>
        <w:t>新</w:t>
      </w:r>
      <w:r>
        <w:rPr>
          <w:rFonts w:hint="eastAsia" w:ascii="Times New Roman" w:hAnsi="Times New Roman" w:eastAsia="仿宋_GB2312" w:cs="Times New Roman"/>
          <w:color w:val="auto"/>
          <w:sz w:val="32"/>
          <w:szCs w:val="32"/>
          <w:lang w:eastAsia="zh-CN"/>
        </w:rPr>
        <w:t>招录</w:t>
      </w:r>
      <w:r>
        <w:rPr>
          <w:rFonts w:hint="default" w:ascii="Times New Roman" w:hAnsi="Times New Roman" w:eastAsia="仿宋_GB2312" w:cs="Times New Roman"/>
          <w:color w:val="auto"/>
          <w:sz w:val="32"/>
          <w:szCs w:val="32"/>
          <w:lang w:eastAsia="zh-CN"/>
        </w:rPr>
        <w:t>在职在编</w:t>
      </w:r>
      <w:r>
        <w:rPr>
          <w:rFonts w:hint="eastAsia"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lang w:eastAsia="zh-CN"/>
        </w:rPr>
        <w:t>3人，相应</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rPr>
        <w:t>人员经费</w:t>
      </w:r>
      <w:r>
        <w:rPr>
          <w:rFonts w:hint="default" w:ascii="Times New Roman" w:hAnsi="Times New Roman" w:eastAsia="仿宋_GB2312" w:cs="Times New Roman"/>
          <w:color w:val="auto"/>
          <w:sz w:val="32"/>
          <w:szCs w:val="32"/>
          <w:lang w:eastAsia="zh-CN"/>
        </w:rPr>
        <w:t>和公用经费</w:t>
      </w:r>
      <w:r>
        <w:rPr>
          <w:rFonts w:hint="eastAsia"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w:t>
      </w:r>
    </w:p>
    <w:p w14:paraId="0CF3CBBB">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广西壮族自治区桂林老干部休养所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414.28万元，其中：一般公共预算收入</w:t>
      </w:r>
      <w:r>
        <w:rPr>
          <w:rFonts w:hint="eastAsia" w:ascii="Times New Roman" w:hAnsi="Times New Roman" w:eastAsia="仿宋_GB2312" w:cs="Times New Roman"/>
          <w:sz w:val="32"/>
          <w:szCs w:val="32"/>
          <w:highlight w:val="none"/>
          <w:lang w:val="en-US" w:eastAsia="zh-CN"/>
        </w:rPr>
        <w:t>389.28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单位资金收入</w:t>
      </w:r>
      <w:r>
        <w:rPr>
          <w:rFonts w:hint="eastAsia" w:ascii="Times New Roman" w:hAnsi="Times New Roman" w:eastAsia="仿宋_GB2312" w:cs="Times New Roman"/>
          <w:sz w:val="32"/>
          <w:szCs w:val="32"/>
          <w:highlight w:val="none"/>
          <w:lang w:val="en-US" w:eastAsia="zh-CN"/>
        </w:rPr>
        <w:t>25万元。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color w:val="auto"/>
          <w:sz w:val="32"/>
          <w:szCs w:val="32"/>
          <w:lang w:val="en-US" w:eastAsia="zh-CN"/>
        </w:rPr>
        <w:t>71.35</w:t>
      </w:r>
      <w:r>
        <w:rPr>
          <w:rFonts w:hint="eastAsia" w:ascii="Times New Roman" w:hAnsi="Times New Roman" w:eastAsia="仿宋_GB2312" w:cs="Times New Roman"/>
          <w:sz w:val="32"/>
          <w:szCs w:val="32"/>
          <w:lang w:val="en-US" w:eastAsia="zh-CN"/>
        </w:rPr>
        <w:t>万元，下降14.69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在职人</w:t>
      </w:r>
      <w:r>
        <w:rPr>
          <w:rFonts w:hint="eastAsia" w:ascii="Times New Roman" w:hAnsi="Times New Roman" w:eastAsia="仿宋_GB2312" w:cs="Times New Roman"/>
          <w:color w:val="auto"/>
          <w:sz w:val="32"/>
          <w:szCs w:val="32"/>
          <w:lang w:eastAsia="zh-CN"/>
        </w:rPr>
        <w:t>员退休</w:t>
      </w:r>
      <w:r>
        <w:rPr>
          <w:rFonts w:hint="eastAsia" w:ascii="Times New Roman" w:hAnsi="Times New Roman" w:eastAsia="仿宋_GB2312" w:cs="Times New Roman"/>
          <w:color w:val="auto"/>
          <w:sz w:val="32"/>
          <w:szCs w:val="32"/>
          <w:lang w:val="en-US" w:eastAsia="zh-CN"/>
        </w:rPr>
        <w:t>3人暂未补充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w w:val="100"/>
          <w:sz w:val="32"/>
          <w:szCs w:val="32"/>
          <w:lang w:eastAsia="zh-CN"/>
        </w:rPr>
        <w:t>相应</w:t>
      </w:r>
      <w:r>
        <w:rPr>
          <w:rFonts w:hint="eastAsia" w:ascii="Times New Roman" w:hAnsi="Times New Roman" w:eastAsia="仿宋_GB2312" w:cs="Times New Roman"/>
          <w:color w:val="auto"/>
          <w:w w:val="100"/>
          <w:sz w:val="32"/>
          <w:szCs w:val="32"/>
          <w:lang w:eastAsia="zh-CN"/>
        </w:rPr>
        <w:t>减少</w:t>
      </w:r>
      <w:r>
        <w:rPr>
          <w:rFonts w:hint="default" w:ascii="Times New Roman" w:hAnsi="Times New Roman" w:eastAsia="仿宋_GB2312" w:cs="Times New Roman"/>
          <w:color w:val="auto"/>
          <w:w w:val="100"/>
          <w:sz w:val="32"/>
          <w:szCs w:val="32"/>
        </w:rPr>
        <w:t>人员经费</w:t>
      </w:r>
      <w:r>
        <w:rPr>
          <w:rFonts w:hint="default" w:ascii="Times New Roman" w:hAnsi="Times New Roman" w:eastAsia="仿宋_GB2312" w:cs="Times New Roman"/>
          <w:color w:val="auto"/>
          <w:w w:val="100"/>
          <w:sz w:val="32"/>
          <w:szCs w:val="32"/>
          <w:lang w:eastAsia="zh-CN"/>
        </w:rPr>
        <w:t>和公用经费</w:t>
      </w:r>
      <w:r>
        <w:rPr>
          <w:rFonts w:hint="eastAsia" w:ascii="Times New Roman" w:hAnsi="Times New Roman" w:eastAsia="仿宋_GB2312" w:cs="Times New Roman"/>
          <w:color w:val="auto"/>
          <w:w w:val="100"/>
          <w:sz w:val="32"/>
          <w:szCs w:val="32"/>
          <w:lang w:eastAsia="zh-CN"/>
        </w:rPr>
        <w:t>预算</w:t>
      </w:r>
      <w:r>
        <w:rPr>
          <w:rFonts w:hint="eastAsia" w:ascii="Times New Roman" w:hAnsi="Times New Roman" w:eastAsia="仿宋_GB2312" w:cs="Times New Roman"/>
          <w:color w:val="auto"/>
          <w:w w:val="100"/>
          <w:sz w:val="32"/>
          <w:szCs w:val="32"/>
          <w:lang w:val="en-US" w:eastAsia="zh-CN"/>
        </w:rPr>
        <w:t>；二是</w:t>
      </w:r>
      <w:r>
        <w:rPr>
          <w:rFonts w:hint="eastAsia" w:ascii="Times New Roman" w:hAnsi="Times New Roman" w:eastAsia="仿宋_GB2312" w:cs="Times New Roman"/>
          <w:color w:val="auto"/>
          <w:sz w:val="32"/>
          <w:szCs w:val="32"/>
          <w:lang w:val="en-US" w:eastAsia="zh-CN"/>
        </w:rPr>
        <w:t>落实习惯“过紧日子”要求，压减部分项目经费支出预算</w:t>
      </w:r>
      <w:r>
        <w:rPr>
          <w:rFonts w:hint="default" w:ascii="Times New Roman" w:hAnsi="Times New Roman" w:eastAsia="仿宋_GB2312" w:cs="Times New Roman"/>
          <w:color w:val="auto"/>
          <w:sz w:val="32"/>
          <w:szCs w:val="32"/>
          <w:lang w:val="en-US" w:eastAsia="zh-CN"/>
        </w:rPr>
        <w:t>。</w:t>
      </w:r>
    </w:p>
    <w:p w14:paraId="3301EA96">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广西壮族自治区柳州老干部休养所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399.61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9.99万元，增长2.56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2026年较上年增加在职人员1人，相应增加人员和公用经费预算</w:t>
      </w:r>
      <w:r>
        <w:rPr>
          <w:rFonts w:hint="default" w:ascii="Times New Roman" w:hAnsi="Times New Roman" w:eastAsia="仿宋_GB2312" w:cs="Times New Roman"/>
          <w:color w:val="auto"/>
          <w:sz w:val="32"/>
          <w:szCs w:val="32"/>
          <w:lang w:eastAsia="zh-CN"/>
        </w:rPr>
        <w:t>。</w:t>
      </w:r>
    </w:p>
    <w:p w14:paraId="256CB8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三、部门</w:t>
      </w:r>
      <w:r>
        <w:rPr>
          <w:rFonts w:hint="eastAsia" w:ascii="Times New Roman" w:hAnsi="Times New Roman" w:eastAsia="黑体" w:cs="Times New Roman"/>
          <w:sz w:val="32"/>
          <w:szCs w:val="32"/>
          <w:lang w:val="en-US" w:eastAsia="zh-CN"/>
        </w:rPr>
        <w:t>预算</w:t>
      </w:r>
      <w:r>
        <w:rPr>
          <w:rFonts w:hint="default" w:ascii="Times New Roman" w:hAnsi="Times New Roman" w:eastAsia="黑体" w:cs="Times New Roman"/>
          <w:sz w:val="32"/>
          <w:szCs w:val="32"/>
          <w:lang w:val="en-US" w:eastAsia="zh-CN"/>
        </w:rPr>
        <w:t>支出总体情况说明</w:t>
      </w:r>
    </w:p>
    <w:p w14:paraId="7D36A60D">
      <w:pPr>
        <w:adjustRightInd w:val="0"/>
        <w:snapToGrid w:val="0"/>
        <w:spacing w:line="590" w:lineRule="exact"/>
        <w:ind w:firstLine="640" w:firstLineChars="200"/>
        <w:rPr>
          <w:rFonts w:hint="eastAsia"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sz w:val="32"/>
          <w:szCs w:val="32"/>
          <w:lang w:eastAsia="zh-CN"/>
        </w:rPr>
        <w:t>我局总支出</w:t>
      </w:r>
      <w:r>
        <w:rPr>
          <w:rFonts w:hint="eastAsia" w:ascii="Times New Roman" w:hAnsi="Times New Roman" w:eastAsia="仿宋_GB2312" w:cs="Times New Roman"/>
          <w:sz w:val="32"/>
          <w:szCs w:val="32"/>
          <w:lang w:val="en-US" w:eastAsia="zh-CN"/>
        </w:rPr>
        <w:t>6007.60</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w w:val="100"/>
          <w:sz w:val="32"/>
          <w:szCs w:val="32"/>
          <w:lang w:val="en-US" w:eastAsia="zh-CN"/>
        </w:rPr>
        <w:t>减少18.52万元，下降0.31%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主要原因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w w:val="100"/>
          <w:sz w:val="32"/>
          <w:szCs w:val="32"/>
          <w:lang w:eastAsia="zh-CN"/>
        </w:rPr>
        <w:t>部门预算支出主要包括：</w:t>
      </w:r>
    </w:p>
    <w:p w14:paraId="456D4320">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一般公共服务支出</w:t>
      </w:r>
      <w:r>
        <w:rPr>
          <w:rFonts w:hint="eastAsia" w:ascii="Times New Roman" w:hAnsi="Times New Roman" w:eastAsia="仿宋_GB2312" w:cs="Times New Roman"/>
          <w:color w:val="auto"/>
          <w:sz w:val="32"/>
          <w:szCs w:val="32"/>
          <w:lang w:val="en-US" w:eastAsia="zh-CN"/>
        </w:rPr>
        <w:t>725.7</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sz w:val="32"/>
          <w:szCs w:val="32"/>
          <w:lang w:val="en-US" w:eastAsia="zh-CN"/>
        </w:rPr>
        <w:t>元，占本年支出预算</w:t>
      </w:r>
      <w:r>
        <w:rPr>
          <w:rFonts w:hint="eastAsia" w:ascii="Times New Roman" w:hAnsi="Times New Roman" w:eastAsia="仿宋_GB2312" w:cs="Times New Roman"/>
          <w:sz w:val="32"/>
          <w:szCs w:val="32"/>
          <w:lang w:val="en-US" w:eastAsia="zh-CN"/>
        </w:rPr>
        <w:t>12.08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较上年增加97.78</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增长15.57</w:t>
      </w:r>
      <w:r>
        <w:rPr>
          <w:rFonts w:hint="default" w:ascii="Times New Roman" w:hAnsi="Times New Roman" w:eastAsia="仿宋_GB2312" w:cs="Times New Roman"/>
          <w:sz w:val="32"/>
          <w:szCs w:val="32"/>
          <w:lang w:val="en-US" w:eastAsia="zh-CN"/>
        </w:rPr>
        <w:t>％。</w:t>
      </w:r>
    </w:p>
    <w:p w14:paraId="19687BEB">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lang w:val="en-US" w:eastAsia="zh-CN"/>
        </w:rPr>
        <w:t>4897.14</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81.52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较上年减少46.81</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下降2.91</w:t>
      </w:r>
      <w:r>
        <w:rPr>
          <w:rFonts w:hint="default" w:ascii="Times New Roman" w:hAnsi="Times New Roman" w:eastAsia="仿宋_GB2312" w:cs="Times New Roman"/>
          <w:sz w:val="32"/>
          <w:szCs w:val="32"/>
          <w:lang w:val="en-US" w:eastAsia="zh-CN"/>
        </w:rPr>
        <w:t>％。</w:t>
      </w:r>
    </w:p>
    <w:p w14:paraId="116C3085">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155.08</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2.58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较上年增加11.67</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增长8.14</w:t>
      </w:r>
      <w:r>
        <w:rPr>
          <w:rFonts w:hint="default" w:ascii="Times New Roman" w:hAnsi="Times New Roman" w:eastAsia="仿宋_GB2312" w:cs="Times New Roman"/>
          <w:sz w:val="32"/>
          <w:szCs w:val="32"/>
          <w:lang w:val="en-US" w:eastAsia="zh-CN"/>
        </w:rPr>
        <w:t>％。</w:t>
      </w:r>
    </w:p>
    <w:p w14:paraId="1756874B">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229.67</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3.83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较上年增加18.83</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增长8.93%</w:t>
      </w:r>
      <w:r>
        <w:rPr>
          <w:rFonts w:hint="default" w:ascii="Times New Roman" w:hAnsi="Times New Roman" w:eastAsia="仿宋_GB2312" w:cs="Times New Roman"/>
          <w:sz w:val="32"/>
          <w:szCs w:val="32"/>
          <w:lang w:val="en-US" w:eastAsia="zh-CN"/>
        </w:rPr>
        <w:t>。</w:t>
      </w:r>
    </w:p>
    <w:p w14:paraId="1D49C3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支出</w:t>
      </w:r>
      <w:r>
        <w:rPr>
          <w:rFonts w:hint="default" w:ascii="Times New Roman" w:hAnsi="Times New Roman" w:eastAsia="黑体" w:cs="Times New Roman"/>
          <w:sz w:val="32"/>
          <w:szCs w:val="32"/>
        </w:rPr>
        <w:t>情况说明</w:t>
      </w:r>
    </w:p>
    <w:p w14:paraId="2D4BF0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我局202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无政府性基金预算。</w:t>
      </w:r>
    </w:p>
    <w:p w14:paraId="3319EC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、国有资本经营预算支出情况说明</w:t>
      </w:r>
    </w:p>
    <w:p w14:paraId="4753E2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我局202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w:t>
      </w:r>
    </w:p>
    <w:p w14:paraId="749AE50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auto"/>
        <w:outlineLvl w:val="9"/>
        <w:rPr>
          <w:rFonts w:hint="default" w:ascii="Times New Roman" w:hAnsi="Times New Roman" w:eastAsia="黑体" w:cs="Times New Roman"/>
          <w:w w:val="95"/>
          <w:sz w:val="32"/>
          <w:szCs w:val="32"/>
        </w:rPr>
      </w:pPr>
      <w:r>
        <w:rPr>
          <w:rFonts w:hint="eastAsia" w:ascii="Times New Roman" w:hAnsi="Times New Roman" w:eastAsia="黑体" w:cs="Times New Roman"/>
          <w:w w:val="95"/>
          <w:sz w:val="32"/>
          <w:szCs w:val="32"/>
          <w:lang w:eastAsia="zh-CN"/>
        </w:rPr>
        <w:t>六</w:t>
      </w:r>
      <w:r>
        <w:rPr>
          <w:rFonts w:hint="default" w:ascii="Times New Roman" w:hAnsi="Times New Roman" w:eastAsia="黑体" w:cs="Times New Roman"/>
          <w:w w:val="95"/>
          <w:sz w:val="32"/>
          <w:szCs w:val="32"/>
        </w:rPr>
        <w:t>、</w:t>
      </w:r>
      <w:r>
        <w:rPr>
          <w:rFonts w:hint="eastAsia" w:ascii="Times New Roman" w:hAnsi="Times New Roman" w:eastAsia="黑体" w:cs="Times New Roman"/>
          <w:w w:val="95"/>
          <w:sz w:val="32"/>
          <w:szCs w:val="32"/>
          <w:lang w:eastAsia="zh-CN"/>
        </w:rPr>
        <w:t>一般公共预算“</w:t>
      </w:r>
      <w:r>
        <w:rPr>
          <w:rFonts w:hint="default" w:ascii="Times New Roman" w:hAnsi="Times New Roman" w:eastAsia="黑体" w:cs="Times New Roman"/>
          <w:w w:val="95"/>
          <w:sz w:val="32"/>
          <w:szCs w:val="32"/>
        </w:rPr>
        <w:t>三公</w:t>
      </w:r>
      <w:r>
        <w:rPr>
          <w:rFonts w:hint="eastAsia" w:ascii="Times New Roman" w:hAnsi="Times New Roman" w:eastAsia="黑体" w:cs="Times New Roman"/>
          <w:w w:val="95"/>
          <w:sz w:val="32"/>
          <w:szCs w:val="32"/>
          <w:lang w:eastAsia="zh-CN"/>
        </w:rPr>
        <w:t>”</w:t>
      </w:r>
      <w:r>
        <w:rPr>
          <w:rFonts w:hint="default" w:ascii="Times New Roman" w:hAnsi="Times New Roman" w:eastAsia="黑体" w:cs="Times New Roman"/>
          <w:w w:val="95"/>
          <w:sz w:val="32"/>
          <w:szCs w:val="32"/>
        </w:rPr>
        <w:t>经费、会议费、培训费</w:t>
      </w:r>
      <w:r>
        <w:rPr>
          <w:rFonts w:hint="default" w:ascii="Times New Roman" w:hAnsi="Times New Roman" w:eastAsia="黑体" w:cs="Times New Roman"/>
          <w:w w:val="95"/>
          <w:sz w:val="32"/>
          <w:szCs w:val="32"/>
          <w:highlight w:val="none"/>
          <w:lang w:eastAsia="zh-CN"/>
        </w:rPr>
        <w:t>支出</w:t>
      </w:r>
      <w:r>
        <w:rPr>
          <w:rFonts w:hint="default" w:ascii="Times New Roman" w:hAnsi="Times New Roman" w:eastAsia="黑体" w:cs="Times New Roman"/>
          <w:w w:val="95"/>
          <w:sz w:val="32"/>
          <w:szCs w:val="32"/>
          <w:highlight w:val="none"/>
        </w:rPr>
        <w:t>情况说明</w:t>
      </w:r>
    </w:p>
    <w:p w14:paraId="3751C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我局</w:t>
      </w:r>
      <w:r>
        <w:rPr>
          <w:rFonts w:hint="eastAsia" w:ascii="Times New Roman" w:hAnsi="Times New Roman" w:eastAsia="楷体_GB2312" w:cs="Times New Roman"/>
          <w:sz w:val="32"/>
          <w:szCs w:val="32"/>
          <w:lang w:eastAsia="zh-CN"/>
        </w:rPr>
        <w:t>202</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一般公共预算</w:t>
      </w:r>
      <w:r>
        <w:rPr>
          <w:rFonts w:hint="default" w:ascii="Times New Roman" w:hAnsi="Times New Roman" w:eastAsia="楷体_GB2312" w:cs="Times New Roman"/>
          <w:sz w:val="32"/>
          <w:szCs w:val="32"/>
        </w:rPr>
        <w:t>安排的</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三公</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经费</w:t>
      </w:r>
      <w:r>
        <w:rPr>
          <w:rFonts w:hint="default" w:ascii="Times New Roman" w:hAnsi="Times New Roman" w:eastAsia="楷体_GB2312" w:cs="Times New Roman"/>
          <w:sz w:val="32"/>
          <w:szCs w:val="32"/>
          <w:lang w:eastAsia="zh-CN"/>
        </w:rPr>
        <w:t>支出预算</w:t>
      </w:r>
      <w:r>
        <w:rPr>
          <w:rFonts w:hint="eastAsia" w:ascii="Times New Roman" w:hAnsi="Times New Roman" w:eastAsia="楷体_GB2312" w:cs="Times New Roman"/>
          <w:sz w:val="32"/>
          <w:szCs w:val="32"/>
          <w:lang w:val="en-US" w:eastAsia="zh-CN"/>
        </w:rPr>
        <w:t>31.51</w:t>
      </w:r>
      <w:r>
        <w:rPr>
          <w:rFonts w:hint="default" w:ascii="Times New Roman" w:hAnsi="Times New Roman" w:eastAsia="楷体_GB2312" w:cs="Times New Roman"/>
          <w:sz w:val="32"/>
          <w:szCs w:val="32"/>
          <w:lang w:val="en-US" w:eastAsia="zh-CN"/>
        </w:rPr>
        <w:t>万元，同口径比202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年减少</w:t>
      </w:r>
      <w:r>
        <w:rPr>
          <w:rFonts w:hint="eastAsia" w:ascii="Times New Roman" w:hAnsi="Times New Roman" w:eastAsia="楷体_GB2312" w:cs="Times New Roman"/>
          <w:sz w:val="32"/>
          <w:szCs w:val="32"/>
          <w:lang w:val="en-US" w:eastAsia="zh-CN"/>
        </w:rPr>
        <w:t>10.68</w:t>
      </w:r>
      <w:r>
        <w:rPr>
          <w:rFonts w:hint="default" w:ascii="Times New Roman" w:hAnsi="Times New Roman" w:eastAsia="楷体_GB2312" w:cs="Times New Roman"/>
          <w:sz w:val="32"/>
          <w:szCs w:val="32"/>
          <w:lang w:val="en-US" w:eastAsia="zh-CN"/>
        </w:rPr>
        <w:t>万元，下降</w:t>
      </w:r>
      <w:r>
        <w:rPr>
          <w:rFonts w:hint="eastAsia" w:ascii="Times New Roman" w:hAnsi="Times New Roman" w:eastAsia="楷体_GB2312" w:cs="Times New Roman"/>
          <w:sz w:val="32"/>
          <w:szCs w:val="32"/>
          <w:lang w:val="en-US" w:eastAsia="zh-CN"/>
        </w:rPr>
        <w:t>25.31</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具体如下：</w:t>
      </w:r>
    </w:p>
    <w:p w14:paraId="06308C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2026年预算安排</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lang w:val="en-US" w:eastAsia="zh-CN"/>
        </w:rPr>
        <w:t>。</w:t>
      </w:r>
    </w:p>
    <w:p w14:paraId="2D7A51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公务用车购置及公务用车运行维护费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27.91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1.50万元，下降5.10%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p>
    <w:p w14:paraId="4D8D3E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6B607F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27.91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1.50万元，下降5.10%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lang w:eastAsia="zh-CN"/>
        </w:rPr>
        <w:t>原</w:t>
      </w:r>
      <w:r>
        <w:rPr>
          <w:rFonts w:hint="eastAsia" w:ascii="Times New Roman" w:hAnsi="Times New Roman" w:eastAsia="仿宋_GB2312" w:cs="Times New Roman"/>
          <w:color w:val="auto"/>
          <w:sz w:val="32"/>
          <w:szCs w:val="32"/>
          <w:lang w:eastAsia="zh-CN"/>
        </w:rPr>
        <w:t>因：</w:t>
      </w:r>
      <w:r>
        <w:rPr>
          <w:rFonts w:hint="eastAsia" w:ascii="Times New Roman" w:hAnsi="Times New Roman" w:eastAsia="仿宋_GB2312" w:cs="Times New Roman"/>
          <w:color w:val="auto"/>
          <w:sz w:val="32"/>
          <w:szCs w:val="32"/>
          <w:lang w:val="en-US" w:eastAsia="zh-CN"/>
        </w:rPr>
        <w:t>一是实有车辆较上年少1辆，相应减少</w:t>
      </w:r>
      <w:r>
        <w:rPr>
          <w:rFonts w:hint="default" w:ascii="Times New Roman" w:hAnsi="Times New Roman" w:eastAsia="仿宋_GB2312" w:cs="Times New Roman"/>
          <w:color w:val="auto"/>
          <w:sz w:val="32"/>
          <w:szCs w:val="32"/>
        </w:rPr>
        <w:t>运行维护费</w:t>
      </w:r>
      <w:r>
        <w:rPr>
          <w:rFonts w:hint="eastAsia" w:ascii="Times New Roman" w:hAnsi="Times New Roman" w:eastAsia="仿宋_GB2312" w:cs="Times New Roman"/>
          <w:color w:val="auto"/>
          <w:sz w:val="32"/>
          <w:szCs w:val="32"/>
          <w:lang w:val="en-US" w:eastAsia="zh-CN"/>
        </w:rPr>
        <w:t>支出预算；二是落实</w:t>
      </w:r>
      <w:r>
        <w:rPr>
          <w:rFonts w:hint="eastAsia" w:ascii="Times New Roman" w:hAnsi="Times New Roman" w:eastAsia="仿宋_GB2312" w:cs="Times New Roman"/>
          <w:color w:val="auto"/>
          <w:sz w:val="32"/>
          <w:szCs w:val="32"/>
          <w:lang w:eastAsia="zh-CN"/>
        </w:rPr>
        <w:t>习惯“过紧日子”</w:t>
      </w:r>
      <w:r>
        <w:rPr>
          <w:rFonts w:hint="default" w:ascii="Times New Roman" w:hAnsi="Times New Roman" w:eastAsia="仿宋_GB2312" w:cs="Times New Roman"/>
          <w:color w:val="auto"/>
          <w:sz w:val="32"/>
          <w:szCs w:val="32"/>
          <w:lang w:eastAsia="zh-CN"/>
        </w:rPr>
        <w:t>要求</w:t>
      </w:r>
      <w:r>
        <w:rPr>
          <w:rFonts w:hint="eastAsia" w:ascii="Times New Roman" w:hAnsi="Times New Roman" w:eastAsia="仿宋_GB2312" w:cs="Times New Roman"/>
          <w:color w:val="auto"/>
          <w:sz w:val="32"/>
          <w:szCs w:val="32"/>
          <w:lang w:val="en-US" w:eastAsia="zh-CN"/>
        </w:rPr>
        <w:t>适当</w:t>
      </w:r>
      <w:r>
        <w:rPr>
          <w:rFonts w:hint="default" w:ascii="Times New Roman" w:hAnsi="Times New Roman" w:eastAsia="仿宋_GB2312" w:cs="Times New Roman"/>
          <w:color w:val="auto"/>
          <w:sz w:val="32"/>
          <w:szCs w:val="32"/>
          <w:lang w:eastAsia="zh-CN"/>
        </w:rPr>
        <w:t>减</w:t>
      </w:r>
      <w:r>
        <w:rPr>
          <w:rFonts w:hint="eastAsia" w:ascii="Times New Roman" w:hAnsi="Times New Roman" w:eastAsia="仿宋_GB2312" w:cs="Times New Roman"/>
          <w:color w:val="auto"/>
          <w:sz w:val="32"/>
          <w:szCs w:val="32"/>
          <w:lang w:val="en-US" w:eastAsia="zh-CN"/>
        </w:rPr>
        <w:t>少</w:t>
      </w:r>
      <w:r>
        <w:rPr>
          <w:rFonts w:hint="default" w:ascii="Times New Roman" w:hAnsi="Times New Roman" w:eastAsia="仿宋_GB2312" w:cs="Times New Roman"/>
          <w:color w:val="auto"/>
          <w:sz w:val="32"/>
          <w:szCs w:val="32"/>
        </w:rPr>
        <w:t>运行维护费</w:t>
      </w:r>
      <w:r>
        <w:rPr>
          <w:rFonts w:hint="eastAsia" w:ascii="Times New Roman" w:hAnsi="Times New Roman" w:eastAsia="仿宋_GB2312" w:cs="Times New Roman"/>
          <w:color w:val="auto"/>
          <w:sz w:val="32"/>
          <w:szCs w:val="32"/>
          <w:lang w:eastAsia="zh-CN"/>
        </w:rPr>
        <w:t>经费预算。</w:t>
      </w:r>
    </w:p>
    <w:p w14:paraId="231528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FF0000"/>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2026年预算安排3.60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w w:val="100"/>
          <w:sz w:val="32"/>
          <w:szCs w:val="32"/>
          <w:lang w:val="en-US" w:eastAsia="zh-CN"/>
        </w:rPr>
        <w:t>9.18万元，下降71.83%</w:t>
      </w:r>
      <w:r>
        <w:rPr>
          <w:rFonts w:hint="eastAsia" w:ascii="Times New Roman" w:hAnsi="Times New Roman" w:eastAsia="仿宋_GB2312" w:cs="Times New Roman"/>
          <w:w w:val="100"/>
          <w:sz w:val="32"/>
          <w:szCs w:val="32"/>
          <w:lang w:eastAsia="zh-CN"/>
        </w:rPr>
        <w:t>。</w:t>
      </w:r>
      <w:r>
        <w:rPr>
          <w:rFonts w:hint="eastAsia" w:ascii="Times New Roman" w:hAnsi="Times New Roman" w:eastAsia="仿宋_GB2312" w:cs="Times New Roman"/>
          <w:color w:val="auto"/>
          <w:w w:val="100"/>
          <w:sz w:val="32"/>
          <w:szCs w:val="32"/>
          <w:lang w:val="en-US" w:eastAsia="zh-CN"/>
        </w:rPr>
        <w:t>主要</w:t>
      </w:r>
      <w:r>
        <w:rPr>
          <w:rFonts w:hint="default" w:ascii="Times New Roman" w:hAnsi="Times New Roman" w:eastAsia="仿宋_GB2312" w:cs="Times New Roman"/>
          <w:color w:val="auto"/>
          <w:w w:val="100"/>
          <w:sz w:val="32"/>
          <w:szCs w:val="32"/>
          <w:lang w:eastAsia="zh-CN"/>
        </w:rPr>
        <w:t>原</w:t>
      </w:r>
      <w:r>
        <w:rPr>
          <w:rFonts w:hint="eastAsia" w:ascii="Times New Roman" w:hAnsi="Times New Roman" w:eastAsia="仿宋_GB2312" w:cs="Times New Roman"/>
          <w:color w:val="auto"/>
          <w:w w:val="100"/>
          <w:sz w:val="32"/>
          <w:szCs w:val="32"/>
          <w:lang w:eastAsia="zh-CN"/>
        </w:rPr>
        <w:t>因：</w:t>
      </w:r>
      <w:r>
        <w:rPr>
          <w:rFonts w:hint="eastAsia" w:ascii="Times New Roman" w:hAnsi="Times New Roman" w:eastAsia="仿宋_GB2312" w:cs="Times New Roman"/>
          <w:color w:val="auto"/>
          <w:w w:val="100"/>
          <w:sz w:val="32"/>
          <w:szCs w:val="32"/>
          <w:lang w:val="en-US" w:eastAsia="zh-CN"/>
        </w:rPr>
        <w:t>落实</w:t>
      </w:r>
      <w:r>
        <w:rPr>
          <w:rFonts w:hint="eastAsia" w:ascii="Times New Roman" w:hAnsi="Times New Roman" w:eastAsia="仿宋_GB2312" w:cs="Times New Roman"/>
          <w:color w:val="auto"/>
          <w:w w:val="100"/>
          <w:sz w:val="32"/>
          <w:szCs w:val="32"/>
          <w:lang w:eastAsia="zh-CN"/>
        </w:rPr>
        <w:t>习惯“过紧日子”</w:t>
      </w:r>
      <w:r>
        <w:rPr>
          <w:rFonts w:hint="default" w:ascii="Times New Roman" w:hAnsi="Times New Roman" w:eastAsia="仿宋_GB2312" w:cs="Times New Roman"/>
          <w:color w:val="auto"/>
          <w:w w:val="100"/>
          <w:sz w:val="32"/>
          <w:szCs w:val="32"/>
          <w:lang w:eastAsia="zh-CN"/>
        </w:rPr>
        <w:t>要求</w:t>
      </w:r>
      <w:r>
        <w:rPr>
          <w:rFonts w:hint="eastAsia" w:ascii="Times New Roman" w:hAnsi="Times New Roman" w:eastAsia="仿宋_GB2312" w:cs="Times New Roman"/>
          <w:color w:val="auto"/>
          <w:w w:val="100"/>
          <w:sz w:val="32"/>
          <w:szCs w:val="32"/>
          <w:lang w:eastAsia="zh-CN"/>
        </w:rPr>
        <w:t>，</w:t>
      </w:r>
      <w:r>
        <w:rPr>
          <w:rFonts w:hint="eastAsia" w:ascii="Times New Roman" w:hAnsi="Times New Roman" w:eastAsia="仿宋_GB2312" w:cs="Times New Roman"/>
          <w:color w:val="auto"/>
          <w:w w:val="100"/>
          <w:sz w:val="32"/>
          <w:szCs w:val="32"/>
          <w:lang w:val="en-US" w:eastAsia="zh-CN"/>
        </w:rPr>
        <w:t>从2026年起公务接待费预算不得从项目</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color w:val="auto"/>
          <w:sz w:val="32"/>
          <w:szCs w:val="32"/>
          <w:lang w:val="en-US" w:eastAsia="zh-CN"/>
        </w:rPr>
        <w:t>安排</w:t>
      </w:r>
      <w:r>
        <w:rPr>
          <w:rFonts w:hint="eastAsia" w:ascii="Times New Roman" w:hAnsi="Times New Roman" w:eastAsia="仿宋_GB2312" w:cs="Times New Roman"/>
          <w:color w:val="auto"/>
          <w:w w:val="95"/>
          <w:sz w:val="32"/>
          <w:szCs w:val="32"/>
          <w:lang w:eastAsia="zh-CN"/>
        </w:rPr>
        <w:t>。</w:t>
      </w:r>
    </w:p>
    <w:p w14:paraId="1384F4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w w:val="95"/>
          <w:sz w:val="32"/>
          <w:szCs w:val="32"/>
        </w:rPr>
      </w:pPr>
      <w:r>
        <w:rPr>
          <w:rFonts w:hint="default" w:ascii="Times New Roman" w:hAnsi="Times New Roman" w:eastAsia="楷体_GB2312" w:cs="Times New Roman"/>
          <w:w w:val="100"/>
          <w:sz w:val="32"/>
          <w:szCs w:val="32"/>
          <w:lang w:eastAsia="zh-CN"/>
        </w:rPr>
        <w:t>（二）</w:t>
      </w:r>
      <w:r>
        <w:rPr>
          <w:rFonts w:hint="eastAsia" w:ascii="Times New Roman" w:hAnsi="Times New Roman" w:eastAsia="楷体_GB2312" w:cs="Times New Roman"/>
          <w:w w:val="100"/>
          <w:sz w:val="32"/>
          <w:szCs w:val="32"/>
          <w:lang w:eastAsia="zh-CN"/>
        </w:rPr>
        <w:t>我局202</w:t>
      </w:r>
      <w:r>
        <w:rPr>
          <w:rFonts w:hint="eastAsia" w:ascii="Times New Roman" w:hAnsi="Times New Roman" w:eastAsia="楷体_GB2312" w:cs="Times New Roman"/>
          <w:w w:val="100"/>
          <w:sz w:val="32"/>
          <w:szCs w:val="32"/>
          <w:lang w:val="en-US" w:eastAsia="zh-CN"/>
        </w:rPr>
        <w:t>6</w:t>
      </w:r>
      <w:r>
        <w:rPr>
          <w:rFonts w:hint="default" w:ascii="Times New Roman" w:hAnsi="Times New Roman" w:eastAsia="楷体_GB2312" w:cs="Times New Roman"/>
          <w:w w:val="100"/>
          <w:sz w:val="32"/>
          <w:szCs w:val="32"/>
        </w:rPr>
        <w:t>年</w:t>
      </w:r>
      <w:r>
        <w:rPr>
          <w:rFonts w:hint="eastAsia" w:ascii="Times New Roman" w:hAnsi="Times New Roman" w:eastAsia="楷体_GB2312" w:cs="Times New Roman"/>
          <w:w w:val="100"/>
          <w:sz w:val="32"/>
          <w:szCs w:val="32"/>
          <w:lang w:eastAsia="zh-CN"/>
        </w:rPr>
        <w:t>一般公共预算</w:t>
      </w:r>
      <w:r>
        <w:rPr>
          <w:rFonts w:hint="default" w:ascii="Times New Roman" w:hAnsi="Times New Roman" w:eastAsia="楷体_GB2312" w:cs="Times New Roman"/>
          <w:w w:val="100"/>
          <w:sz w:val="32"/>
          <w:szCs w:val="32"/>
        </w:rPr>
        <w:t>安排</w:t>
      </w:r>
      <w:r>
        <w:rPr>
          <w:rFonts w:hint="eastAsia" w:ascii="Times New Roman" w:hAnsi="Times New Roman" w:eastAsia="楷体_GB2312" w:cs="Times New Roman"/>
          <w:w w:val="100"/>
          <w:sz w:val="32"/>
          <w:szCs w:val="32"/>
          <w:lang w:eastAsia="zh-CN"/>
        </w:rPr>
        <w:t>的</w:t>
      </w:r>
      <w:r>
        <w:rPr>
          <w:rFonts w:hint="default" w:ascii="Times New Roman" w:hAnsi="Times New Roman" w:eastAsia="楷体_GB2312" w:cs="Times New Roman"/>
          <w:w w:val="100"/>
          <w:sz w:val="32"/>
          <w:szCs w:val="32"/>
        </w:rPr>
        <w:t>会议费、培训费</w:t>
      </w:r>
      <w:r>
        <w:rPr>
          <w:rFonts w:hint="eastAsia" w:ascii="Times New Roman" w:hAnsi="Times New Roman" w:eastAsia="楷体_GB2312" w:cs="Times New Roman"/>
          <w:w w:val="100"/>
          <w:sz w:val="32"/>
          <w:szCs w:val="32"/>
          <w:lang w:eastAsia="zh-CN"/>
        </w:rPr>
        <w:t>支出</w:t>
      </w:r>
      <w:r>
        <w:rPr>
          <w:rFonts w:hint="default" w:ascii="Times New Roman" w:hAnsi="Times New Roman" w:eastAsia="楷体_GB2312" w:cs="Times New Roman"/>
          <w:w w:val="100"/>
          <w:sz w:val="32"/>
          <w:szCs w:val="32"/>
        </w:rPr>
        <w:t>情况说明</w:t>
      </w:r>
    </w:p>
    <w:p w14:paraId="7F31DE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43.18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2.71万元，下降5.91%</w:t>
      </w:r>
      <w:r>
        <w:rPr>
          <w:rFonts w:hint="default" w:ascii="Times New Roman" w:hAnsi="Times New Roman" w:eastAsia="仿宋_GB2312" w:cs="Times New Roman"/>
          <w:sz w:val="32"/>
          <w:szCs w:val="32"/>
          <w:lang w:eastAsia="zh-CN"/>
        </w:rPr>
        <w:t>。</w:t>
      </w:r>
    </w:p>
    <w:p w14:paraId="5F2D7D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54.18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w:t>
      </w:r>
      <w:r>
        <w:rPr>
          <w:rFonts w:hint="eastAsia" w:ascii="Times New Roman" w:hAnsi="Times New Roman" w:eastAsia="仿宋_GB2312" w:cs="Times New Roman"/>
          <w:sz w:val="32"/>
          <w:szCs w:val="32"/>
          <w:lang w:val="en-US" w:eastAsia="zh-CN"/>
        </w:rPr>
        <w:t>减少0.01</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下降0.02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115B942">
      <w:pPr>
        <w:ind w:firstLine="640"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会议费、培训费支出预算减少的主要原因：落实习惯“过紧日子”要求，适当压减2026年一般公共预算安排的</w:t>
      </w:r>
      <w:r>
        <w:rPr>
          <w:rFonts w:hint="eastAsia" w:ascii="Times New Roman" w:hAnsi="Times New Roman" w:eastAsia="仿宋_GB2312" w:cs="Times New Roman"/>
          <w:b w:val="0"/>
          <w:bCs w:val="0"/>
          <w:color w:val="auto"/>
          <w:sz w:val="32"/>
          <w:szCs w:val="32"/>
          <w:lang w:eastAsia="zh-CN"/>
        </w:rPr>
        <w:t>会议</w:t>
      </w:r>
      <w:r>
        <w:rPr>
          <w:rFonts w:hint="default" w:ascii="Times New Roman" w:hAnsi="Times New Roman" w:eastAsia="仿宋_GB2312" w:cs="Times New Roman"/>
          <w:b w:val="0"/>
          <w:bCs w:val="0"/>
          <w:color w:val="auto"/>
          <w:sz w:val="32"/>
          <w:szCs w:val="32"/>
        </w:rPr>
        <w:t>费</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培训费支出预算</w:t>
      </w:r>
      <w:r>
        <w:rPr>
          <w:rFonts w:hint="default" w:ascii="Times New Roman" w:hAnsi="Times New Roman" w:eastAsia="仿宋_GB2312" w:cs="Times New Roman"/>
          <w:b w:val="0"/>
          <w:bCs w:val="0"/>
          <w:color w:val="auto"/>
          <w:sz w:val="32"/>
          <w:szCs w:val="32"/>
          <w:lang w:eastAsia="zh-CN"/>
        </w:rPr>
        <w:t>。</w:t>
      </w:r>
    </w:p>
    <w:p w14:paraId="191101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lang w:val="en-US" w:eastAsia="zh-CN"/>
        </w:rPr>
      </w:pPr>
      <w:r>
        <w:rPr>
          <w:rFonts w:hint="eastAsia" w:ascii="Times New Roman" w:hAnsi="Times New Roman" w:eastAsia="黑体" w:cs="Times New Roman"/>
          <w:sz w:val="32"/>
          <w:szCs w:val="32"/>
          <w:lang w:val="en-US" w:eastAsia="zh-CN"/>
        </w:rPr>
        <w:t>七、机关运行经费安排情况说明</w:t>
      </w:r>
    </w:p>
    <w:p w14:paraId="3D8D8000">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000000"/>
          <w:sz w:val="32"/>
          <w:szCs w:val="32"/>
          <w:lang w:val="en-US" w:eastAsia="zh-CN"/>
        </w:rPr>
        <w:t>我局机关运行经费主要包括办公费、印刷费、手续费、邮电费、物业管理费、差旅费、日常维修费、会议费、培训费、公务接待费、劳务费、工会经费、福利费、公务用车运行维护费等。</w:t>
      </w:r>
      <w:r>
        <w:rPr>
          <w:rFonts w:hint="eastAsia" w:ascii="Times New Roman" w:hAnsi="Times New Roman" w:eastAsia="仿宋_GB2312" w:cs="Times New Roman"/>
          <w:b w:val="0"/>
          <w:bCs w:val="0"/>
          <w:color w:val="auto"/>
          <w:sz w:val="32"/>
          <w:szCs w:val="32"/>
          <w:lang w:val="en-US" w:eastAsia="zh-CN"/>
        </w:rPr>
        <w:t>我局2026年机关运行经费预算576.58万元，较上年增加130.08万元，增长29.13%，增加的主要原因：从2026年起原党团工青妇、物业管理费（除广西老年大学）项目经费预算纳入基本支出预算</w:t>
      </w:r>
      <w:r>
        <w:rPr>
          <w:rFonts w:hint="default" w:ascii="Times New Roman" w:hAnsi="Times New Roman" w:eastAsia="仿宋_GB2312" w:cs="Times New Roman"/>
          <w:color w:val="auto"/>
          <w:sz w:val="32"/>
          <w:szCs w:val="32"/>
          <w:lang w:val="en-US" w:eastAsia="zh-CN"/>
        </w:rPr>
        <w:t>。</w:t>
      </w:r>
    </w:p>
    <w:p w14:paraId="0D5055AD">
      <w:pPr>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八、政府采购预算安排情况说明</w:t>
      </w:r>
    </w:p>
    <w:p w14:paraId="20D9F37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zh-CN"/>
        </w:rPr>
        <w:t>我局202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zh-CN"/>
        </w:rPr>
        <w:t>年政府采购预算</w:t>
      </w:r>
      <w:r>
        <w:rPr>
          <w:rFonts w:hint="eastAsia" w:ascii="Times New Roman" w:hAnsi="Times New Roman" w:eastAsia="仿宋_GB2312" w:cs="Times New Roman"/>
          <w:color w:val="000000"/>
          <w:sz w:val="32"/>
          <w:szCs w:val="32"/>
          <w:lang w:val="zh-CN"/>
        </w:rPr>
        <w:t>总金额</w:t>
      </w:r>
      <w:r>
        <w:rPr>
          <w:rFonts w:hint="eastAsia" w:ascii="Times New Roman" w:hAnsi="Times New Roman" w:eastAsia="仿宋_GB2312" w:cs="Times New Roman"/>
          <w:color w:val="000000"/>
          <w:sz w:val="32"/>
          <w:szCs w:val="32"/>
          <w:lang w:val="en-US" w:eastAsia="zh-CN"/>
        </w:rPr>
        <w:t>613.73</w:t>
      </w:r>
      <w:r>
        <w:rPr>
          <w:rFonts w:hint="default" w:ascii="Times New Roman" w:hAnsi="Times New Roman" w:eastAsia="仿宋_GB2312" w:cs="Times New Roman"/>
          <w:color w:val="000000"/>
          <w:sz w:val="32"/>
          <w:szCs w:val="32"/>
          <w:lang w:val="zh-CN"/>
        </w:rPr>
        <w:t>万元，</w:t>
      </w:r>
      <w:r>
        <w:rPr>
          <w:rFonts w:hint="default" w:ascii="Times New Roman" w:hAnsi="Times New Roman" w:eastAsia="仿宋_GB2312" w:cs="Times New Roman"/>
          <w:color w:val="000000"/>
          <w:sz w:val="32"/>
          <w:szCs w:val="32"/>
          <w:highlight w:val="none"/>
          <w:lang w:val="zh-CN"/>
        </w:rPr>
        <w:t>其中：</w:t>
      </w:r>
      <w:r>
        <w:rPr>
          <w:rFonts w:hint="eastAsia" w:ascii="Times New Roman" w:hAnsi="Times New Roman" w:eastAsia="仿宋_GB2312" w:cs="Times New Roman"/>
          <w:color w:val="000000"/>
          <w:sz w:val="32"/>
          <w:szCs w:val="32"/>
          <w:highlight w:val="none"/>
          <w:lang w:val="zh-CN"/>
        </w:rPr>
        <w:t>货物类采购</w:t>
      </w:r>
      <w:r>
        <w:rPr>
          <w:rFonts w:hint="eastAsia" w:ascii="Times New Roman" w:hAnsi="Times New Roman" w:eastAsia="仿宋_GB2312" w:cs="Times New Roman"/>
          <w:color w:val="000000"/>
          <w:sz w:val="32"/>
          <w:szCs w:val="32"/>
          <w:highlight w:val="none"/>
          <w:lang w:val="en-US" w:eastAsia="zh-CN"/>
        </w:rPr>
        <w:t>43.02万元、工程类采购0万元、服务类采购495.71万元。</w:t>
      </w:r>
    </w:p>
    <w:p w14:paraId="0B2D7F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zh-CN"/>
        </w:rPr>
        <w:t>按</w:t>
      </w:r>
      <w:r>
        <w:rPr>
          <w:rFonts w:hint="default" w:ascii="Times New Roman" w:hAnsi="Times New Roman" w:eastAsia="仿宋_GB2312" w:cs="Times New Roman"/>
          <w:color w:val="auto"/>
          <w:sz w:val="32"/>
          <w:szCs w:val="32"/>
          <w:lang w:val="zh-CN"/>
        </w:rPr>
        <w:t>政府采购资金类型</w:t>
      </w:r>
      <w:r>
        <w:rPr>
          <w:rFonts w:hint="eastAsia" w:ascii="Times New Roman" w:hAnsi="Times New Roman" w:eastAsia="仿宋_GB2312" w:cs="Times New Roman"/>
          <w:color w:val="auto"/>
          <w:sz w:val="32"/>
          <w:szCs w:val="32"/>
          <w:lang w:val="zh-CN"/>
        </w:rPr>
        <w:t>分：</w:t>
      </w:r>
      <w:r>
        <w:rPr>
          <w:rFonts w:hint="default" w:ascii="Times New Roman" w:hAnsi="Times New Roman" w:eastAsia="仿宋_GB2312" w:cs="Times New Roman"/>
          <w:color w:val="auto"/>
          <w:sz w:val="32"/>
          <w:szCs w:val="32"/>
          <w:lang w:val="zh-CN"/>
        </w:rPr>
        <w:t>一般公共预算拨款</w:t>
      </w:r>
      <w:r>
        <w:rPr>
          <w:rFonts w:hint="eastAsia" w:ascii="Times New Roman" w:hAnsi="Times New Roman" w:eastAsia="仿宋_GB2312" w:cs="Times New Roman"/>
          <w:color w:val="auto"/>
          <w:sz w:val="32"/>
          <w:szCs w:val="32"/>
          <w:lang w:val="zh-CN"/>
        </w:rPr>
        <w:t>安排</w:t>
      </w:r>
      <w:r>
        <w:rPr>
          <w:rFonts w:hint="eastAsia" w:ascii="Times New Roman" w:hAnsi="Times New Roman" w:eastAsia="仿宋_GB2312" w:cs="Times New Roman"/>
          <w:color w:val="auto"/>
          <w:sz w:val="32"/>
          <w:szCs w:val="32"/>
          <w:lang w:val="en-US" w:eastAsia="zh-CN"/>
        </w:rPr>
        <w:t>588.73</w:t>
      </w:r>
      <w:r>
        <w:rPr>
          <w:rFonts w:hint="default" w:ascii="Times New Roman" w:hAnsi="Times New Roman" w:eastAsia="仿宋_GB2312" w:cs="Times New Roman"/>
          <w:color w:val="auto"/>
          <w:sz w:val="32"/>
          <w:szCs w:val="32"/>
          <w:lang w:val="zh-CN"/>
        </w:rPr>
        <w:t>万元，</w:t>
      </w:r>
      <w:r>
        <w:rPr>
          <w:rFonts w:hint="eastAsia" w:ascii="Times New Roman" w:hAnsi="Times New Roman" w:eastAsia="仿宋_GB2312" w:cs="Times New Roman"/>
          <w:color w:val="000000"/>
          <w:sz w:val="32"/>
          <w:szCs w:val="32"/>
          <w:highlight w:val="none"/>
          <w:lang w:val="en-US" w:eastAsia="zh-CN"/>
        </w:rPr>
        <w:t>占政府采购资金预算95.93％；</w:t>
      </w:r>
      <w:r>
        <w:rPr>
          <w:rFonts w:hint="default" w:ascii="Times New Roman" w:hAnsi="Times New Roman" w:eastAsia="仿宋_GB2312" w:cs="Times New Roman"/>
          <w:color w:val="auto"/>
          <w:sz w:val="32"/>
          <w:szCs w:val="32"/>
          <w:lang w:val="zh-CN"/>
        </w:rPr>
        <w:t>单位资金安排</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val="zh-CN"/>
        </w:rPr>
        <w:t>万元</w:t>
      </w:r>
      <w:r>
        <w:rPr>
          <w:rFonts w:hint="eastAsia" w:ascii="Times New Roman" w:hAnsi="Times New Roman" w:eastAsia="仿宋_GB2312" w:cs="Times New Roman"/>
          <w:color w:val="000000"/>
          <w:sz w:val="32"/>
          <w:szCs w:val="32"/>
          <w:highlight w:val="none"/>
          <w:lang w:val="zh-CN"/>
        </w:rPr>
        <w:t>，</w:t>
      </w:r>
      <w:r>
        <w:rPr>
          <w:rFonts w:hint="eastAsia" w:ascii="Times New Roman" w:hAnsi="Times New Roman" w:eastAsia="仿宋_GB2312" w:cs="Times New Roman"/>
          <w:color w:val="000000"/>
          <w:sz w:val="32"/>
          <w:szCs w:val="32"/>
          <w:highlight w:val="none"/>
          <w:lang w:val="en-US" w:eastAsia="zh-CN"/>
        </w:rPr>
        <w:t>占政府采购资金预算4.07％</w:t>
      </w:r>
      <w:r>
        <w:rPr>
          <w:rFonts w:hint="default" w:ascii="Times New Roman" w:hAnsi="Times New Roman" w:eastAsia="仿宋_GB2312" w:cs="Times New Roman"/>
          <w:color w:val="auto"/>
          <w:sz w:val="32"/>
          <w:szCs w:val="32"/>
          <w:lang w:val="zh-CN"/>
        </w:rPr>
        <w:t>。</w:t>
      </w:r>
    </w:p>
    <w:p w14:paraId="47C4CE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000000"/>
          <w:sz w:val="32"/>
          <w:szCs w:val="32"/>
          <w:highlight w:val="yellow"/>
          <w:lang w:val="zh-CN"/>
        </w:rPr>
      </w:pPr>
      <w:r>
        <w:rPr>
          <w:rFonts w:hint="default" w:ascii="Times New Roman" w:hAnsi="Times New Roman" w:eastAsia="仿宋_GB2312" w:cs="Times New Roman"/>
          <w:color w:val="000000"/>
          <w:sz w:val="32"/>
          <w:szCs w:val="32"/>
          <w:highlight w:val="none"/>
          <w:lang w:val="zh-CN"/>
        </w:rPr>
        <w:t>按政府采购项目类型</w:t>
      </w:r>
      <w:r>
        <w:rPr>
          <w:rFonts w:hint="eastAsia" w:ascii="Times New Roman" w:hAnsi="Times New Roman" w:eastAsia="仿宋_GB2312" w:cs="Times New Roman"/>
          <w:color w:val="000000"/>
          <w:sz w:val="32"/>
          <w:szCs w:val="32"/>
          <w:highlight w:val="none"/>
          <w:lang w:val="zh-CN"/>
        </w:rPr>
        <w:t>分：</w:t>
      </w:r>
      <w:r>
        <w:rPr>
          <w:rFonts w:hint="default" w:ascii="Times New Roman" w:hAnsi="Times New Roman" w:eastAsia="仿宋_GB2312" w:cs="Times New Roman"/>
          <w:color w:val="000000"/>
          <w:sz w:val="32"/>
          <w:szCs w:val="32"/>
          <w:highlight w:val="none"/>
          <w:lang w:val="zh-CN"/>
        </w:rPr>
        <w:t>政府集中采购预算538.73万元，占政府采购预算的87.78%，较上年减少0.27万元，下降0.05%，主要原因是上年有一次性项目经费完成支付；分散采购75万元，占政府采购预算12.22%，与上年持平，该项目为政府采购公开招标项目，合同期限2026.1.1-2028.12.31，一采三年，每年75万元，共225万元。</w:t>
      </w:r>
    </w:p>
    <w:p w14:paraId="12D57EC3">
      <w:pPr>
        <w:adjustRightInd w:val="0"/>
        <w:snapToGrid w:val="0"/>
        <w:spacing w:line="590" w:lineRule="exact"/>
        <w:ind w:firstLine="643" w:firstLineChars="200"/>
        <w:rPr>
          <w:rFonts w:hint="eastAsia" w:ascii="Times New Roman" w:hAnsi="Times New Roman" w:eastAsia="宋体" w:cs="Times New Roman"/>
          <w:b/>
          <w:bCs/>
          <w:color w:val="000000"/>
          <w:sz w:val="32"/>
          <w:szCs w:val="32"/>
          <w:lang w:eastAsia="zh-CN"/>
        </w:rPr>
      </w:pPr>
      <w:r>
        <w:rPr>
          <w:rFonts w:hint="eastAsia" w:ascii="Times New Roman" w:hAnsi="Times New Roman" w:eastAsia="宋体" w:cs="Times New Roman"/>
          <w:b/>
          <w:bCs/>
          <w:color w:val="000000"/>
          <w:sz w:val="32"/>
          <w:szCs w:val="32"/>
          <w:lang w:val="en-US" w:eastAsia="zh-CN"/>
        </w:rPr>
        <w:t>九、</w:t>
      </w:r>
      <w:r>
        <w:rPr>
          <w:rFonts w:hint="default" w:ascii="Times New Roman" w:hAnsi="Times New Roman" w:eastAsia="宋体" w:cs="Times New Roman"/>
          <w:b/>
          <w:bCs/>
          <w:color w:val="000000"/>
          <w:sz w:val="32"/>
          <w:szCs w:val="32"/>
        </w:rPr>
        <w:t>国有资产占用情况</w:t>
      </w:r>
      <w:r>
        <w:rPr>
          <w:rFonts w:hint="eastAsia" w:ascii="Times New Roman" w:hAnsi="Times New Roman" w:cs="Times New Roman"/>
          <w:b/>
          <w:bCs/>
          <w:color w:val="000000"/>
          <w:sz w:val="32"/>
          <w:szCs w:val="32"/>
          <w:lang w:eastAsia="zh-CN"/>
        </w:rPr>
        <w:t>说明</w:t>
      </w:r>
    </w:p>
    <w:p w14:paraId="7CAD0376">
      <w:pPr>
        <w:adjustRightInd w:val="0"/>
        <w:snapToGrid w:val="0"/>
        <w:spacing w:line="590" w:lineRule="exact"/>
        <w:ind w:firstLine="640" w:firstLineChars="200"/>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sz w:val="32"/>
          <w:szCs w:val="32"/>
          <w:lang w:eastAsia="zh-CN"/>
        </w:rPr>
        <w:t>（一）</w:t>
      </w:r>
      <w:r>
        <w:rPr>
          <w:rFonts w:hint="default" w:ascii="Times New Roman" w:hAnsi="Times New Roman" w:eastAsia="楷体_GB2312" w:cs="Times New Roman"/>
          <w:b w:val="0"/>
          <w:bCs w:val="0"/>
          <w:color w:val="000000"/>
          <w:sz w:val="32"/>
          <w:szCs w:val="32"/>
        </w:rPr>
        <w:t>办公用房情况</w:t>
      </w:r>
    </w:p>
    <w:p w14:paraId="3F83D6F3">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年我局实有办公用房</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栋，面积</w:t>
      </w:r>
      <w:r>
        <w:rPr>
          <w:rFonts w:hint="default" w:ascii="Times New Roman" w:hAnsi="Times New Roman" w:eastAsia="仿宋_GB2312" w:cs="Times New Roman"/>
          <w:color w:val="000000"/>
          <w:sz w:val="32"/>
          <w:szCs w:val="32"/>
          <w:lang w:val="en-US" w:eastAsia="zh-CN"/>
        </w:rPr>
        <w:t>6957</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w:t>
      </w:r>
      <w:r>
        <w:rPr>
          <w:rFonts w:hint="default" w:ascii="Times New Roman" w:hAnsi="Times New Roman" w:eastAsia="仿宋_GB2312" w:cs="Times New Roman"/>
          <w:color w:val="000000"/>
          <w:sz w:val="32"/>
          <w:szCs w:val="32"/>
          <w:lang w:val="en-US" w:eastAsia="zh-CN"/>
        </w:rPr>
        <w:t>959.35</w:t>
      </w:r>
      <w:r>
        <w:rPr>
          <w:rFonts w:hint="default" w:ascii="Times New Roman" w:hAnsi="Times New Roman" w:eastAsia="仿宋_GB2312" w:cs="Times New Roman"/>
          <w:color w:val="000000"/>
          <w:sz w:val="32"/>
          <w:szCs w:val="32"/>
        </w:rPr>
        <w:t>万元。其中：</w:t>
      </w:r>
    </w:p>
    <w:p w14:paraId="0584E97E">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自治区党委老干部局本级办公用房2栋（含</w:t>
      </w:r>
      <w:r>
        <w:rPr>
          <w:rFonts w:hint="default" w:ascii="Times New Roman" w:hAnsi="Times New Roman" w:eastAsia="仿宋_GB2312" w:cs="Times New Roman"/>
          <w:color w:val="000000"/>
          <w:sz w:val="32"/>
          <w:szCs w:val="32"/>
          <w:lang w:eastAsia="zh-CN"/>
        </w:rPr>
        <w:t>自治</w:t>
      </w:r>
      <w:r>
        <w:rPr>
          <w:rFonts w:hint="default" w:ascii="Times New Roman" w:hAnsi="Times New Roman" w:eastAsia="仿宋_GB2312" w:cs="Times New Roman"/>
          <w:color w:val="000000"/>
          <w:sz w:val="32"/>
          <w:szCs w:val="32"/>
        </w:rPr>
        <w:t>区关心</w:t>
      </w:r>
      <w:r>
        <w:rPr>
          <w:rFonts w:hint="default" w:ascii="Times New Roman" w:hAnsi="Times New Roman" w:eastAsia="仿宋_GB2312" w:cs="Times New Roman"/>
          <w:color w:val="000000"/>
          <w:w w:val="100"/>
          <w:sz w:val="32"/>
          <w:szCs w:val="32"/>
        </w:rPr>
        <w:t>下一代工作委员会办公用房），面积2581.80m</w:t>
      </w:r>
      <w:r>
        <w:rPr>
          <w:rFonts w:hint="default" w:ascii="Times New Roman" w:hAnsi="Times New Roman" w:eastAsia="仿宋_GB2312" w:cs="Times New Roman"/>
          <w:color w:val="000000"/>
          <w:w w:val="100"/>
          <w:sz w:val="32"/>
          <w:szCs w:val="32"/>
          <w:vertAlign w:val="superscript"/>
        </w:rPr>
        <w:t>2</w:t>
      </w:r>
      <w:r>
        <w:rPr>
          <w:rFonts w:hint="default" w:ascii="Times New Roman" w:hAnsi="Times New Roman" w:eastAsia="仿宋_GB2312" w:cs="Times New Roman"/>
          <w:color w:val="000000"/>
          <w:w w:val="100"/>
          <w:sz w:val="32"/>
          <w:szCs w:val="32"/>
        </w:rPr>
        <w:t>，原值121.55万元。</w:t>
      </w:r>
    </w:p>
    <w:p w14:paraId="5072A538">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广西老年大学办公用房4栋，面积2981.05m2，原值795.51万元。</w:t>
      </w:r>
    </w:p>
    <w:p w14:paraId="35EBD19B">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广西壮族自治区直属机关干部休养所办公用房1栋，面积931.50m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，原值6.50万元。</w:t>
      </w:r>
    </w:p>
    <w:p w14:paraId="0D1913F5">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广西壮族自治区桂林老干部休养所办公用房1栋，面积300m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，原值3万元。</w:t>
      </w:r>
    </w:p>
    <w:p w14:paraId="39492DC8">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广西壮族自治区柳州老干部休养所办公用房1栋，面积162.72m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，原值32.79万元。</w:t>
      </w:r>
    </w:p>
    <w:p w14:paraId="1C4B4632">
      <w:pPr>
        <w:adjustRightInd w:val="0"/>
        <w:snapToGrid w:val="0"/>
        <w:spacing w:line="590" w:lineRule="exact"/>
        <w:ind w:firstLine="640" w:firstLineChars="200"/>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rPr>
        <w:t>车辆构成情况</w:t>
      </w:r>
    </w:p>
    <w:p w14:paraId="21D7FDBC">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我局车辆编制10辆，</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年实有在编车辆</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辆。其中：机要通信和应急用车4辆，老干部服务用车5辆。</w:t>
      </w:r>
    </w:p>
    <w:p w14:paraId="1D0CE524">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自治区党委老干部局本级实有在编车辆</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辆，其中：机要通信和应急用车4辆为轿车，老干部服务用车1辆为旅行越野车。</w:t>
      </w:r>
    </w:p>
    <w:p w14:paraId="7C8B33B4">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广西老年大学实有在编车辆1辆，用途为老干部服务用车，车辆类型为旅行越野车。</w:t>
      </w:r>
    </w:p>
    <w:p w14:paraId="1C1C2DFA">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广西壮族自治区直属机关干部休养所实有在编车辆1辆，用途为老干部服务用车，车辆类型为旅行越野车。</w:t>
      </w:r>
    </w:p>
    <w:p w14:paraId="70E8C600">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广西壮族自治区桂林老干部休养所实有在编车辆1辆，用途为老干部服务用车，车辆类型为旅行越野车。</w:t>
      </w:r>
    </w:p>
    <w:p w14:paraId="34043574">
      <w:pPr>
        <w:adjustRightInd w:val="0"/>
        <w:snapToGrid w:val="0"/>
        <w:spacing w:line="59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广西壮族自治区柳州老干部休养所实有在编车辆1辆，用途为老干部服务用车，车辆类型为旅行越野车。</w:t>
      </w:r>
    </w:p>
    <w:p w14:paraId="70044B6A">
      <w:pPr>
        <w:spacing w:beforeLines="0" w:afterLines="0" w:line="590" w:lineRule="atLeast"/>
        <w:ind w:firstLine="640"/>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十、预算绩效目标情况说明</w:t>
      </w:r>
    </w:p>
    <w:p w14:paraId="64F7A3BC">
      <w:pPr>
        <w:spacing w:beforeLines="0" w:afterLines="0" w:line="590" w:lineRule="atLeast"/>
        <w:ind w:firstLine="640"/>
        <w:rPr>
          <w:rFonts w:hint="eastAsia" w:ascii="Times New Roman" w:hAnsi="Times New Roman" w:eastAsia="仿宋_GB2312" w:cs="Times New Roman"/>
          <w:color w:val="000000"/>
          <w:sz w:val="32"/>
          <w:highlight w:val="yellow"/>
          <w:lang w:val="en-US" w:eastAsia="zh-CN"/>
        </w:rPr>
      </w:pPr>
      <w:r>
        <w:rPr>
          <w:rFonts w:hint="eastAsia" w:ascii="Times New Roman" w:hAnsi="Times New Roman" w:eastAsia="仿宋_GB2312" w:cs="Times New Roman"/>
          <w:color w:val="000000"/>
          <w:sz w:val="32"/>
          <w:highlight w:val="none"/>
          <w:lang w:val="en-US" w:eastAsia="zh-CN"/>
        </w:rPr>
        <w:t>（一）</w:t>
      </w:r>
      <w:r>
        <w:rPr>
          <w:rFonts w:hint="eastAsia" w:ascii="Times New Roman" w:hAnsi="Times New Roman" w:eastAsia="仿宋_GB2312" w:cs="Times New Roman"/>
          <w:color w:val="000000"/>
          <w:sz w:val="32"/>
          <w:highlight w:val="none"/>
          <w:lang w:val="zh-CN"/>
        </w:rPr>
        <w:t>我</w:t>
      </w:r>
      <w:r>
        <w:rPr>
          <w:rFonts w:hint="default" w:ascii="Times New Roman" w:hAnsi="Times New Roman" w:eastAsia="仿宋_GB2312" w:cs="Times New Roman"/>
          <w:color w:val="000000"/>
          <w:sz w:val="32"/>
          <w:highlight w:val="none"/>
          <w:lang w:val="zh-CN"/>
        </w:rPr>
        <w:t>局</w:t>
      </w:r>
      <w:r>
        <w:rPr>
          <w:rFonts w:hint="eastAsia" w:ascii="Times New Roman" w:hAnsi="Times New Roman" w:eastAsia="仿宋_GB2312" w:cs="Times New Roman"/>
          <w:color w:val="000000"/>
          <w:sz w:val="32"/>
          <w:highlight w:val="none"/>
          <w:lang w:eastAsia="zh-CN"/>
        </w:rPr>
        <w:t>202</w:t>
      </w:r>
      <w:r>
        <w:rPr>
          <w:rFonts w:hint="eastAsia" w:ascii="Times New Roman" w:hAnsi="Times New Roman" w:eastAsia="仿宋_GB2312" w:cs="Times New Roman"/>
          <w:color w:val="000000"/>
          <w:sz w:val="32"/>
          <w:highlight w:val="none"/>
          <w:lang w:val="en-US" w:eastAsia="zh-CN"/>
        </w:rPr>
        <w:t>6</w:t>
      </w:r>
      <w:r>
        <w:rPr>
          <w:rFonts w:hint="default" w:ascii="Times New Roman" w:hAnsi="Times New Roman" w:eastAsia="仿宋_GB2312" w:cs="Times New Roman"/>
          <w:color w:val="000000"/>
          <w:sz w:val="32"/>
          <w:highlight w:val="none"/>
          <w:lang w:val="zh-CN"/>
        </w:rPr>
        <w:t>年</w:t>
      </w:r>
      <w:r>
        <w:rPr>
          <w:rFonts w:hint="eastAsia" w:ascii="Times New Roman" w:hAnsi="Times New Roman" w:eastAsia="仿宋_GB2312" w:cs="Times New Roman"/>
          <w:color w:val="000000"/>
          <w:sz w:val="32"/>
          <w:highlight w:val="none"/>
          <w:lang w:val="zh-CN"/>
        </w:rPr>
        <w:t>所有项目支出全面实施绩效目标管理，涉及自治区本级项目</w:t>
      </w:r>
      <w:r>
        <w:rPr>
          <w:rFonts w:hint="eastAsia" w:ascii="Times New Roman" w:hAnsi="Times New Roman" w:eastAsia="仿宋_GB2312" w:cs="Times New Roman"/>
          <w:color w:val="000000"/>
          <w:sz w:val="32"/>
          <w:highlight w:val="none"/>
          <w:lang w:val="en-US" w:eastAsia="zh-CN"/>
        </w:rPr>
        <w:t>22个，预算资金2362.48万元；对下转移支付项目1个，预算资金40万元，绩效目标情况详见自治区本级项目绩效目标公开表（日常运转类项目、工资类人员经费项目和涉密项目等除外）。</w:t>
      </w:r>
    </w:p>
    <w:p w14:paraId="382B8568">
      <w:pPr>
        <w:spacing w:beforeLines="0" w:afterLines="0" w:line="590" w:lineRule="atLeast"/>
        <w:ind w:firstLine="640"/>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lang w:val="en-US" w:eastAsia="zh-CN"/>
        </w:rPr>
        <w:t>（二）重点项目预算绩效目标说明</w:t>
      </w:r>
    </w:p>
    <w:p w14:paraId="4D0F98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000000"/>
          <w:sz w:val="32"/>
          <w:highlight w:val="none"/>
          <w:lang w:val="zh-CN"/>
        </w:rPr>
        <w:t>我局</w:t>
      </w:r>
      <w:r>
        <w:rPr>
          <w:rFonts w:hint="eastAsia" w:ascii="Times New Roman" w:hAnsi="Times New Roman" w:eastAsia="仿宋_GB2312" w:cs="Times New Roman"/>
          <w:color w:val="000000"/>
          <w:sz w:val="32"/>
          <w:highlight w:val="none"/>
          <w:lang w:val="en-US" w:eastAsia="zh-CN"/>
        </w:rPr>
        <w:t>2026年</w:t>
      </w:r>
      <w:r>
        <w:rPr>
          <w:rFonts w:hint="eastAsia" w:ascii="Times New Roman" w:hAnsi="Times New Roman" w:eastAsia="仿宋_GB2312" w:cs="Times New Roman"/>
          <w:color w:val="000000"/>
          <w:sz w:val="32"/>
          <w:highlight w:val="none"/>
          <w:lang w:val="zh-CN"/>
        </w:rPr>
        <w:t>部门预算</w:t>
      </w:r>
      <w:r>
        <w:rPr>
          <w:rFonts w:hint="eastAsia" w:ascii="Times New Roman" w:hAnsi="Times New Roman" w:eastAsia="仿宋_GB2312" w:cs="Times New Roman"/>
          <w:color w:val="000000"/>
          <w:sz w:val="32"/>
          <w:highlight w:val="none"/>
          <w:lang w:val="en-US" w:eastAsia="zh-CN"/>
        </w:rPr>
        <w:t>200万元（含）以上</w:t>
      </w:r>
      <w:r>
        <w:rPr>
          <w:rFonts w:hint="eastAsia" w:ascii="Times New Roman" w:hAnsi="Times New Roman" w:eastAsia="仿宋_GB2312" w:cs="Times New Roman"/>
          <w:color w:val="000000"/>
          <w:sz w:val="32"/>
          <w:highlight w:val="none"/>
          <w:lang w:val="zh-CN"/>
        </w:rPr>
        <w:t>项目预算</w:t>
      </w:r>
      <w:r>
        <w:rPr>
          <w:rFonts w:hint="eastAsia" w:ascii="Times New Roman" w:hAnsi="Times New Roman" w:eastAsia="仿宋_GB2312" w:cs="Times New Roman"/>
          <w:color w:val="000000"/>
          <w:sz w:val="32"/>
          <w:highlight w:val="none"/>
          <w:lang w:val="en-US" w:eastAsia="zh-CN"/>
        </w:rPr>
        <w:t>3个，为直属单位广西老年大学3个。</w:t>
      </w:r>
      <w:r>
        <w:rPr>
          <w:rFonts w:hint="eastAsia" w:ascii="Times New Roman" w:hAnsi="Times New Roman" w:eastAsia="仿宋_GB2312" w:cs="Times New Roman"/>
          <w:color w:val="auto"/>
          <w:sz w:val="32"/>
          <w:highlight w:val="none"/>
          <w:lang w:val="en-US" w:eastAsia="zh-CN"/>
        </w:rPr>
        <w:t>均为</w:t>
      </w:r>
      <w:r>
        <w:rPr>
          <w:rFonts w:hint="default" w:ascii="Times New Roman" w:hAnsi="Times New Roman" w:eastAsia="仿宋_GB2312" w:cs="Times New Roman"/>
          <w:color w:val="auto"/>
          <w:sz w:val="32"/>
          <w:highlight w:val="none"/>
          <w:lang w:val="zh-CN"/>
        </w:rPr>
        <w:t>一般公共预算</w:t>
      </w:r>
      <w:r>
        <w:rPr>
          <w:rFonts w:hint="eastAsia" w:ascii="Times New Roman" w:hAnsi="Times New Roman" w:eastAsia="仿宋_GB2312" w:cs="Times New Roman"/>
          <w:color w:val="auto"/>
          <w:sz w:val="32"/>
          <w:highlight w:val="none"/>
          <w:lang w:val="en-US" w:eastAsia="zh-CN"/>
        </w:rPr>
        <w:t>1267.45</w:t>
      </w:r>
      <w:r>
        <w:rPr>
          <w:rFonts w:hint="default" w:ascii="Times New Roman" w:hAnsi="Times New Roman" w:eastAsia="仿宋_GB2312" w:cs="Times New Roman"/>
          <w:color w:val="auto"/>
          <w:sz w:val="32"/>
          <w:highlight w:val="none"/>
          <w:lang w:val="zh-CN"/>
        </w:rPr>
        <w:t>万元</w:t>
      </w:r>
      <w:r>
        <w:rPr>
          <w:rFonts w:hint="eastAsia" w:ascii="Times New Roman" w:hAnsi="Times New Roman" w:eastAsia="仿宋_GB2312" w:cs="Times New Roman"/>
          <w:color w:val="auto"/>
          <w:sz w:val="32"/>
          <w:highlight w:val="none"/>
          <w:lang w:val="zh-CN"/>
        </w:rPr>
        <w:t>，占部门预算支出</w:t>
      </w:r>
      <w:r>
        <w:rPr>
          <w:rFonts w:hint="eastAsia" w:ascii="Times New Roman" w:hAnsi="Times New Roman" w:eastAsia="仿宋_GB2312" w:cs="Times New Roman"/>
          <w:color w:val="auto"/>
          <w:sz w:val="32"/>
          <w:highlight w:val="none"/>
          <w:lang w:val="en-US" w:eastAsia="zh-CN"/>
        </w:rPr>
        <w:t>21.10%，占部门项目经费预算支出53.65%</w:t>
      </w:r>
      <w:r>
        <w:rPr>
          <w:rFonts w:hint="eastAsia" w:ascii="Times New Roman" w:hAnsi="Times New Roman" w:eastAsia="仿宋_GB2312" w:cs="Times New Roman"/>
          <w:color w:val="auto"/>
          <w:sz w:val="32"/>
          <w:highlight w:val="none"/>
          <w:lang w:val="zh-CN"/>
        </w:rPr>
        <w:t>。</w:t>
      </w:r>
    </w:p>
    <w:p w14:paraId="4EB35107">
      <w:pPr>
        <w:spacing w:beforeLines="0" w:afterLines="0" w:line="590" w:lineRule="atLeast"/>
        <w:ind w:firstLine="640"/>
        <w:rPr>
          <w:rFonts w:hint="eastAsia" w:ascii="Times New Roman" w:hAnsi="Times New Roman" w:eastAsia="仿宋_GB2312" w:cs="Times New Roman"/>
          <w:color w:val="auto"/>
          <w:sz w:val="32"/>
          <w:highlight w:val="none"/>
          <w:lang w:val="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370"/>
        <w:gridCol w:w="1350"/>
        <w:gridCol w:w="4643"/>
      </w:tblGrid>
      <w:tr w14:paraId="451A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25" w:type="dxa"/>
            <w:noWrap w:val="0"/>
            <w:vAlign w:val="center"/>
          </w:tcPr>
          <w:p w14:paraId="296C7681">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sz w:val="28"/>
                <w:szCs w:val="28"/>
                <w:vertAlign w:val="baseline"/>
                <w:lang w:val="zh-CN"/>
              </w:rPr>
            </w:pPr>
            <w:r>
              <w:rPr>
                <w:rFonts w:hint="default" w:ascii="Times New Roman" w:hAnsi="Times New Roman" w:cs="Times New Roman"/>
                <w:color w:val="auto"/>
                <w:sz w:val="28"/>
                <w:szCs w:val="28"/>
                <w:vertAlign w:val="baseline"/>
                <w:lang w:val="zh-CN"/>
              </w:rPr>
              <w:t>序号</w:t>
            </w:r>
          </w:p>
        </w:tc>
        <w:tc>
          <w:tcPr>
            <w:tcW w:w="2370" w:type="dxa"/>
            <w:noWrap w:val="0"/>
            <w:vAlign w:val="center"/>
          </w:tcPr>
          <w:p w14:paraId="11AA4393">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sz w:val="28"/>
                <w:szCs w:val="28"/>
                <w:vertAlign w:val="baseline"/>
                <w:lang w:val="zh-CN"/>
              </w:rPr>
            </w:pPr>
            <w:r>
              <w:rPr>
                <w:rFonts w:hint="default" w:ascii="Times New Roman" w:hAnsi="Times New Roman" w:cs="Times New Roman"/>
                <w:color w:val="auto"/>
                <w:sz w:val="28"/>
                <w:szCs w:val="28"/>
                <w:vertAlign w:val="baseline"/>
                <w:lang w:val="zh-CN"/>
              </w:rPr>
              <w:t>项目名称</w:t>
            </w:r>
          </w:p>
        </w:tc>
        <w:tc>
          <w:tcPr>
            <w:tcW w:w="1350" w:type="dxa"/>
            <w:noWrap w:val="0"/>
            <w:vAlign w:val="center"/>
          </w:tcPr>
          <w:p w14:paraId="7745BFFA">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sz w:val="28"/>
                <w:szCs w:val="28"/>
                <w:vertAlign w:val="baseline"/>
                <w:lang w:val="zh-CN"/>
              </w:rPr>
            </w:pPr>
            <w:r>
              <w:rPr>
                <w:rFonts w:hint="default" w:ascii="Times New Roman" w:hAnsi="Times New Roman" w:cs="Times New Roman"/>
                <w:color w:val="auto"/>
                <w:sz w:val="28"/>
                <w:szCs w:val="28"/>
                <w:vertAlign w:val="baseline"/>
                <w:lang w:val="zh-CN"/>
              </w:rPr>
              <w:t>预算数</w:t>
            </w:r>
            <w:r>
              <w:rPr>
                <w:rFonts w:hint="default" w:ascii="Times New Roman" w:hAnsi="Times New Roman" w:cs="Times New Roman"/>
                <w:color w:val="auto"/>
                <w:sz w:val="21"/>
                <w:szCs w:val="21"/>
                <w:vertAlign w:val="baseline"/>
                <w:lang w:val="zh-CN"/>
              </w:rPr>
              <w:t>（单位：万元）</w:t>
            </w:r>
          </w:p>
        </w:tc>
        <w:tc>
          <w:tcPr>
            <w:tcW w:w="4643" w:type="dxa"/>
            <w:noWrap w:val="0"/>
            <w:vAlign w:val="center"/>
          </w:tcPr>
          <w:p w14:paraId="2CE0462C">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sz w:val="28"/>
                <w:szCs w:val="28"/>
                <w:vertAlign w:val="baseline"/>
                <w:lang w:val="zh-CN"/>
              </w:rPr>
            </w:pPr>
            <w:r>
              <w:rPr>
                <w:rFonts w:hint="default" w:ascii="Times New Roman" w:hAnsi="Times New Roman" w:cs="Times New Roman"/>
                <w:color w:val="auto"/>
                <w:sz w:val="28"/>
                <w:szCs w:val="28"/>
                <w:vertAlign w:val="baseline"/>
                <w:lang w:val="zh-CN"/>
              </w:rPr>
              <w:t>绩效目标</w:t>
            </w:r>
          </w:p>
        </w:tc>
      </w:tr>
      <w:tr w14:paraId="005D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925" w:type="dxa"/>
            <w:noWrap w:val="0"/>
            <w:vAlign w:val="center"/>
          </w:tcPr>
          <w:p w14:paraId="4A7B7C3B">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vertAlign w:val="baseline"/>
                <w:lang w:val="en-US" w:eastAsia="zh-CN"/>
              </w:rPr>
            </w:pPr>
            <w:r>
              <w:rPr>
                <w:rFonts w:hint="eastAsia" w:ascii="Times New Roman" w:hAnsi="Times New Roman" w:cs="Times New Roman"/>
                <w:color w:val="auto"/>
                <w:vertAlign w:val="baseline"/>
                <w:lang w:val="en-US" w:eastAsia="zh-CN"/>
              </w:rPr>
              <w:t>1</w:t>
            </w:r>
          </w:p>
        </w:tc>
        <w:tc>
          <w:tcPr>
            <w:tcW w:w="2370" w:type="dxa"/>
            <w:noWrap w:val="0"/>
            <w:vAlign w:val="center"/>
          </w:tcPr>
          <w:p w14:paraId="4752F400">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vertAlign w:val="baseline"/>
                <w:lang w:val="zh-CN"/>
              </w:rPr>
            </w:pPr>
            <w:r>
              <w:rPr>
                <w:rFonts w:hint="default" w:ascii="Times New Roman" w:hAnsi="Times New Roman" w:eastAsia="仿宋_GB2312" w:cs="Times New Roman"/>
                <w:b w:val="0"/>
                <w:bCs w:val="0"/>
                <w:color w:val="auto"/>
                <w:sz w:val="32"/>
                <w:lang w:val="zh-CN"/>
              </w:rPr>
              <w:t>老年教育工作经费</w:t>
            </w:r>
          </w:p>
        </w:tc>
        <w:tc>
          <w:tcPr>
            <w:tcW w:w="1350" w:type="dxa"/>
            <w:noWrap w:val="0"/>
            <w:vAlign w:val="center"/>
          </w:tcPr>
          <w:p w14:paraId="50A89A2D">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vertAlign w:val="baseline"/>
                <w:lang w:val="en-US"/>
              </w:rPr>
            </w:pPr>
            <w:r>
              <w:rPr>
                <w:rFonts w:hint="eastAsia" w:ascii="Times New Roman" w:hAnsi="Times New Roman" w:eastAsia="仿宋_GB2312" w:cs="Times New Roman"/>
                <w:b w:val="0"/>
                <w:bCs w:val="0"/>
                <w:color w:val="auto"/>
                <w:sz w:val="32"/>
                <w:lang w:val="en-US" w:eastAsia="zh-CN"/>
              </w:rPr>
              <w:t>630.55</w:t>
            </w:r>
          </w:p>
        </w:tc>
        <w:tc>
          <w:tcPr>
            <w:tcW w:w="4643" w:type="dxa"/>
            <w:noWrap w:val="0"/>
            <w:vAlign w:val="top"/>
          </w:tcPr>
          <w:p w14:paraId="386CE740">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color w:val="auto"/>
                <w:kern w:val="2"/>
                <w:sz w:val="28"/>
                <w:szCs w:val="22"/>
                <w:highlight w:val="none"/>
                <w:lang w:val="zh-CN" w:eastAsia="zh-CN" w:bidi="ar-SA"/>
              </w:rPr>
            </w:pPr>
            <w:r>
              <w:rPr>
                <w:rFonts w:hint="default" w:ascii="Times New Roman" w:hAnsi="Times New Roman" w:eastAsia="仿宋_GB2312" w:cs="Times New Roman"/>
                <w:b w:val="0"/>
                <w:bCs w:val="0"/>
                <w:color w:val="auto"/>
                <w:kern w:val="2"/>
                <w:sz w:val="28"/>
                <w:szCs w:val="22"/>
                <w:highlight w:val="none"/>
                <w:lang w:val="zh-CN" w:eastAsia="zh-CN" w:bidi="ar-SA"/>
              </w:rPr>
              <w:t>不断拓宽办学渠道和形式吸纳新学员，解决“一座难求”问题；不断改善办学条件、扩大办学规模，不断提高办学能力和管理水平，不断提升社会影响力；真正把老年大学建设成为广大老同志思想政治建设、精神文化建设和发挥优势作用、汇聚传播正能量的重要阵地。</w:t>
            </w:r>
          </w:p>
        </w:tc>
      </w:tr>
      <w:tr w14:paraId="29FD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25" w:type="dxa"/>
            <w:noWrap w:val="0"/>
            <w:vAlign w:val="center"/>
          </w:tcPr>
          <w:p w14:paraId="25E890ED">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vertAlign w:val="baseline"/>
                <w:lang w:val="en-US" w:eastAsia="zh-CN"/>
              </w:rPr>
            </w:pPr>
            <w:r>
              <w:rPr>
                <w:rFonts w:hint="eastAsia" w:ascii="Times New Roman" w:hAnsi="Times New Roman" w:cs="Times New Roman"/>
                <w:color w:val="auto"/>
                <w:vertAlign w:val="baseline"/>
                <w:lang w:val="en-US" w:eastAsia="zh-CN"/>
              </w:rPr>
              <w:t>2</w:t>
            </w:r>
          </w:p>
        </w:tc>
        <w:tc>
          <w:tcPr>
            <w:tcW w:w="2370" w:type="dxa"/>
            <w:noWrap w:val="0"/>
            <w:vAlign w:val="center"/>
          </w:tcPr>
          <w:p w14:paraId="527BA7AD">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vertAlign w:val="baseline"/>
                <w:lang w:val="zh-CN"/>
              </w:rPr>
            </w:pPr>
            <w:r>
              <w:rPr>
                <w:rFonts w:hint="default" w:ascii="Times New Roman" w:hAnsi="Times New Roman" w:eastAsia="仿宋_GB2312" w:cs="Times New Roman"/>
                <w:b w:val="0"/>
                <w:bCs w:val="0"/>
                <w:color w:val="auto"/>
                <w:sz w:val="32"/>
                <w:lang w:val="zh-CN"/>
              </w:rPr>
              <w:t>物业</w:t>
            </w:r>
            <w:r>
              <w:rPr>
                <w:rFonts w:hint="eastAsia" w:ascii="Times New Roman" w:hAnsi="Times New Roman" w:eastAsia="仿宋_GB2312" w:cs="Times New Roman"/>
                <w:b w:val="0"/>
                <w:bCs w:val="0"/>
                <w:color w:val="auto"/>
                <w:sz w:val="32"/>
                <w:lang w:val="en-US" w:eastAsia="zh-CN"/>
              </w:rPr>
              <w:t>服务</w:t>
            </w:r>
            <w:r>
              <w:rPr>
                <w:rFonts w:hint="default" w:ascii="Times New Roman" w:hAnsi="Times New Roman" w:eastAsia="仿宋_GB2312" w:cs="Times New Roman"/>
                <w:b w:val="0"/>
                <w:bCs w:val="0"/>
                <w:color w:val="auto"/>
                <w:sz w:val="32"/>
                <w:lang w:val="zh-CN"/>
              </w:rPr>
              <w:t>管理费</w:t>
            </w:r>
            <w:r>
              <w:rPr>
                <w:rFonts w:hint="eastAsia" w:ascii="Times New Roman" w:hAnsi="Times New Roman" w:eastAsia="仿宋_GB2312" w:cs="Times New Roman"/>
                <w:b w:val="0"/>
                <w:bCs w:val="0"/>
                <w:color w:val="auto"/>
                <w:sz w:val="32"/>
                <w:lang w:val="zh-CN"/>
              </w:rPr>
              <w:t>（</w:t>
            </w:r>
            <w:r>
              <w:rPr>
                <w:rFonts w:hint="default" w:ascii="Times New Roman" w:hAnsi="Times New Roman" w:eastAsia="仿宋_GB2312" w:cs="Times New Roman"/>
                <w:b w:val="0"/>
                <w:bCs w:val="0"/>
                <w:color w:val="auto"/>
                <w:sz w:val="32"/>
                <w:lang w:val="zh-CN"/>
              </w:rPr>
              <w:t>项目</w:t>
            </w:r>
            <w:r>
              <w:rPr>
                <w:rFonts w:hint="eastAsia" w:ascii="Times New Roman" w:hAnsi="Times New Roman" w:eastAsia="仿宋_GB2312" w:cs="Times New Roman"/>
                <w:b w:val="0"/>
                <w:bCs w:val="0"/>
                <w:color w:val="auto"/>
                <w:sz w:val="32"/>
                <w:lang w:val="en-US" w:eastAsia="zh-CN"/>
              </w:rPr>
              <w:t>支出</w:t>
            </w:r>
            <w:r>
              <w:rPr>
                <w:rFonts w:hint="eastAsia" w:ascii="Times New Roman" w:hAnsi="Times New Roman" w:eastAsia="仿宋_GB2312" w:cs="Times New Roman"/>
                <w:b w:val="0"/>
                <w:bCs w:val="0"/>
                <w:color w:val="auto"/>
                <w:sz w:val="32"/>
                <w:lang w:val="zh-CN"/>
              </w:rPr>
              <w:t>）</w:t>
            </w:r>
          </w:p>
        </w:tc>
        <w:tc>
          <w:tcPr>
            <w:tcW w:w="1350" w:type="dxa"/>
            <w:noWrap w:val="0"/>
            <w:vAlign w:val="center"/>
          </w:tcPr>
          <w:p w14:paraId="69AFB587">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vertAlign w:val="baseline"/>
                <w:lang w:val="zh-CN"/>
              </w:rPr>
            </w:pPr>
            <w:r>
              <w:rPr>
                <w:rFonts w:hint="default" w:ascii="Times New Roman" w:hAnsi="Times New Roman" w:eastAsia="仿宋_GB2312" w:cs="Times New Roman"/>
                <w:b w:val="0"/>
                <w:bCs w:val="0"/>
                <w:color w:val="auto"/>
                <w:sz w:val="32"/>
                <w:lang w:val="en-US" w:eastAsia="zh-CN"/>
              </w:rPr>
              <w:t>36</w:t>
            </w:r>
            <w:r>
              <w:rPr>
                <w:rFonts w:hint="eastAsia" w:ascii="Times New Roman" w:hAnsi="Times New Roman" w:eastAsia="仿宋_GB2312" w:cs="Times New Roman"/>
                <w:b w:val="0"/>
                <w:bCs w:val="0"/>
                <w:color w:val="auto"/>
                <w:sz w:val="32"/>
                <w:lang w:val="en-US" w:eastAsia="zh-CN"/>
              </w:rPr>
              <w:t>0</w:t>
            </w:r>
          </w:p>
        </w:tc>
        <w:tc>
          <w:tcPr>
            <w:tcW w:w="4643" w:type="dxa"/>
            <w:noWrap w:val="0"/>
            <w:vAlign w:val="top"/>
          </w:tcPr>
          <w:p w14:paraId="0AF319F3">
            <w:pPr>
              <w:pageBreakBefore w:val="0"/>
              <w:widowControl w:val="0"/>
              <w:kinsoku/>
              <w:wordWrap/>
              <w:overflowPunct/>
              <w:topLinePunct w:val="0"/>
              <w:autoSpaceDE/>
              <w:autoSpaceDN/>
              <w:bidi w:val="0"/>
              <w:adjustRightInd/>
              <w:snapToGrid/>
              <w:spacing w:beforeLines="0" w:afterLines="0" w:line="340" w:lineRule="exact"/>
              <w:textAlignment w:val="auto"/>
              <w:rPr>
                <w:rFonts w:hint="default" w:ascii="Times New Roman" w:hAnsi="Times New Roman" w:cs="Times New Roman"/>
                <w:color w:val="auto"/>
                <w:sz w:val="20"/>
                <w:szCs w:val="22"/>
                <w:vertAlign w:val="baseline"/>
                <w:lang w:val="zh-CN"/>
              </w:rPr>
            </w:pPr>
            <w:r>
              <w:rPr>
                <w:rFonts w:hint="default" w:ascii="Times New Roman" w:hAnsi="Times New Roman" w:eastAsia="仿宋_GB2312" w:cs="Times New Roman"/>
                <w:color w:val="auto"/>
                <w:sz w:val="28"/>
                <w:szCs w:val="22"/>
                <w:lang w:val="zh-CN"/>
              </w:rPr>
              <w:t>提供优质的物业服务，保证园湖、凤岭两校区环境优美、卫生清洁、会议服务保障有力、绿化、设施维护到位，确保安防保卫工作无事故。</w:t>
            </w:r>
          </w:p>
        </w:tc>
      </w:tr>
      <w:tr w14:paraId="336A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702E87AB">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vertAlign w:val="baseline"/>
                <w:lang w:val="en-US" w:eastAsia="zh-CN"/>
              </w:rPr>
            </w:pPr>
            <w:r>
              <w:rPr>
                <w:rFonts w:hint="eastAsia" w:ascii="Times New Roman" w:hAnsi="Times New Roman" w:cs="Times New Roman"/>
                <w:color w:val="auto"/>
                <w:vertAlign w:val="baseline"/>
                <w:lang w:val="en-US" w:eastAsia="zh-CN"/>
              </w:rPr>
              <w:t>3</w:t>
            </w:r>
          </w:p>
        </w:tc>
        <w:tc>
          <w:tcPr>
            <w:tcW w:w="2370" w:type="dxa"/>
            <w:noWrap w:val="0"/>
            <w:vAlign w:val="center"/>
          </w:tcPr>
          <w:p w14:paraId="2EA291BF">
            <w:pPr>
              <w:pStyle w:val="2"/>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color w:val="auto"/>
                <w:vertAlign w:val="baseline"/>
                <w:lang w:val="zh-CN"/>
              </w:rPr>
            </w:pPr>
            <w:r>
              <w:rPr>
                <w:rFonts w:hint="eastAsia" w:ascii="Times New Roman" w:hAnsi="Times New Roman" w:eastAsia="仿宋_GB2312" w:cs="Times New Roman"/>
                <w:b w:val="0"/>
                <w:bCs w:val="0"/>
                <w:color w:val="auto"/>
                <w:sz w:val="32"/>
                <w:lang w:val="en-US" w:eastAsia="zh-CN"/>
              </w:rPr>
              <w:t>补充运转</w:t>
            </w:r>
            <w:r>
              <w:rPr>
                <w:rFonts w:hint="default" w:ascii="Times New Roman" w:hAnsi="Times New Roman" w:eastAsia="仿宋_GB2312" w:cs="Times New Roman"/>
                <w:b w:val="0"/>
                <w:bCs w:val="0"/>
                <w:color w:val="auto"/>
                <w:sz w:val="32"/>
                <w:lang w:val="zh-CN"/>
              </w:rPr>
              <w:t>公用经费</w:t>
            </w:r>
          </w:p>
        </w:tc>
        <w:tc>
          <w:tcPr>
            <w:tcW w:w="1350" w:type="dxa"/>
            <w:noWrap w:val="0"/>
            <w:vAlign w:val="center"/>
          </w:tcPr>
          <w:p w14:paraId="7A554577">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vertAlign w:val="baseline"/>
                <w:lang w:val="en-US"/>
              </w:rPr>
            </w:pPr>
            <w:r>
              <w:rPr>
                <w:rFonts w:hint="eastAsia" w:ascii="Times New Roman" w:hAnsi="Times New Roman" w:eastAsia="仿宋_GB2312" w:cs="Times New Roman"/>
                <w:b w:val="0"/>
                <w:bCs w:val="0"/>
                <w:color w:val="auto"/>
                <w:sz w:val="32"/>
                <w:lang w:val="en-US" w:eastAsia="zh-CN"/>
              </w:rPr>
              <w:t>276.90</w:t>
            </w:r>
          </w:p>
        </w:tc>
        <w:tc>
          <w:tcPr>
            <w:tcW w:w="4643" w:type="dxa"/>
            <w:noWrap w:val="0"/>
            <w:vAlign w:val="top"/>
          </w:tcPr>
          <w:p w14:paraId="21D1257A">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color w:val="auto"/>
                <w:sz w:val="28"/>
                <w:szCs w:val="28"/>
                <w:vertAlign w:val="baseline"/>
                <w:lang w:val="zh-CN"/>
              </w:rPr>
            </w:pPr>
            <w:r>
              <w:rPr>
                <w:rFonts w:hint="default" w:ascii="Times New Roman" w:hAnsi="Times New Roman" w:eastAsia="仿宋_GB2312" w:cs="Times New Roman"/>
                <w:b w:val="0"/>
                <w:bCs w:val="0"/>
                <w:color w:val="auto"/>
                <w:sz w:val="28"/>
                <w:szCs w:val="28"/>
                <w:lang w:val="zh-CN"/>
              </w:rPr>
              <w:t>根据年度工作安排，供给必要合理的水电、宽带、办公费等服务，实现“保运转”的基本目标。</w:t>
            </w:r>
          </w:p>
        </w:tc>
      </w:tr>
    </w:tbl>
    <w:p w14:paraId="0E5F27E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p>
    <w:p w14:paraId="0D13FC4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14:paraId="293A7D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323B93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、其他收入：指除上述“财政拨款收入”、“事业收入”、“经营收入”等以外的收入。</w:t>
      </w:r>
    </w:p>
    <w:p w14:paraId="6CDC00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375A80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、结余分配：指事业单位按规定提取的职工福利基金、事业基金和缴纳的所得税，以及建设单位按规定应交回的基本建设竣工项目结余资金。 </w:t>
      </w:r>
    </w:p>
    <w:p w14:paraId="2A7D09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、年末结转和结余：指本年度或以前年度预算安排、因客观条件发生变化无法按原计划实施，需要延迟到以后年度按有关规定继续使用的资金。 </w:t>
      </w:r>
    </w:p>
    <w:p w14:paraId="28EDE4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 xml:space="preserve">、基本支出：指为保障机构正常运转、完成日常工作任务而发生的人员支出和公用支出。 </w:t>
      </w:r>
    </w:p>
    <w:p w14:paraId="57A32C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43C7CD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1D66E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DF4DF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自治区党委老干部局</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年部门预算报表</w:t>
      </w:r>
    </w:p>
    <w:p w14:paraId="1586E4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eastAsia" w:ascii="Times New Roman" w:hAnsi="Times New Roman" w:eastAsia="仿宋_GB2312" w:cs="Times New Roman"/>
          <w:sz w:val="32"/>
          <w:szCs w:val="32"/>
          <w:lang w:eastAsia="zh-CN"/>
        </w:rPr>
        <w:t>自治区党委老干部局202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年部门预算公开</w:t>
      </w:r>
      <w:r>
        <w:rPr>
          <w:rFonts w:hint="eastAsia"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表）</w:t>
      </w:r>
    </w:p>
    <w:p w14:paraId="639D1213">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4C9EDDDB">
      <w:pPr>
        <w:rPr>
          <w:rFonts w:ascii="Times New Roman" w:hAnsi="Times New Roman"/>
        </w:rPr>
      </w:pPr>
    </w:p>
    <w:p w14:paraId="3A654C46">
      <w:pPr>
        <w:rPr>
          <w:rFonts w:ascii="Times New Roman" w:hAnsi="Times New Roman"/>
        </w:rPr>
      </w:pPr>
    </w:p>
    <w:p w14:paraId="5CD7EE2C">
      <w:pPr>
        <w:rPr>
          <w:rFonts w:ascii="Times New Roman" w:hAnsi="Times New Roman"/>
        </w:rPr>
      </w:pPr>
    </w:p>
    <w:p w14:paraId="530602ED"/>
    <w:p w14:paraId="5395F31F">
      <w:pPr>
        <w:rPr>
          <w:rFonts w:hint="default"/>
        </w:rPr>
      </w:pPr>
    </w:p>
    <w:sectPr>
      <w:footerReference r:id="rId4" w:type="default"/>
      <w:footerReference r:id="rId5" w:type="even"/>
      <w:pgSz w:w="11907" w:h="16840"/>
      <w:pgMar w:top="1984" w:right="1417" w:bottom="1417" w:left="1417" w:header="850" w:footer="1531"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7A25">
    <w:pPr>
      <w:pStyle w:val="6"/>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1952E59">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v:imagedata o:title=""/>
              <o:lock v:ext="edit" aspectratio="f"/>
              <v:textbox inset="0mm,0mm,0mm,0mm" style="mso-fit-shape-to-text:t;">
                <w:txbxContent>
                  <w:p w14:paraId="61952E59">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C03C">
    <w:pPr>
      <w:pStyle w:val="6"/>
    </w:pPr>
    <w:r>
      <mc:AlternateContent>
        <mc:Choice Requires="wps">
          <w:drawing>
            <wp:anchor distT="0" distB="0" distL="114300" distR="114300" simplePos="0" relativeHeight="251660288" behindDoc="0" locked="0" layoutInCell="1" allowOverlap="1">
              <wp:simplePos x="0" y="0"/>
              <wp:positionH relativeFrom="margin">
                <wp:posOffset>4907280</wp:posOffset>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A59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left:386.4pt;margin-top:0pt;height:144pt;width:144pt;mso-position-horizontal-relative:margin;mso-wrap-style:none;z-index:251660288;mso-width-relative:page;mso-height-relative:page;" filled="f" stroked="f" coordsize="21600,21600" o:gfxdata="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5aUhl0wAAAAkBAAAPAAAA&#10;AAAAAAEAIAAAACIAAABkcnMvZG93bnJldi54bWxQSwECFAAUAAAACACHTuJAwk5SYeEBAAC5AwAA&#10;DgAAAAAAAAABACAAAAAiAQAAZHJzL2Uyb0RvYy54bWxQSwUGAAAAAAYABgBZAQAAdQUAAAAA&#10;">
              <v:fill on="f" focussize="0,0"/>
              <v:stroke on="f"/>
              <v:imagedata o:title=""/>
              <o:lock v:ext="edit" aspectratio="f"/>
              <v:textbox inset="0mm,0mm,0mm,0mm" style="mso-fit-shape-to-text:t;">
                <w:txbxContent>
                  <w:p w14:paraId="6FA59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756A">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222250</wp:posOffset>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CF76E4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left:17.5pt;margin-top:0pt;height:144pt;width:144pt;mso-position-horizontal-relative:margin;mso-wrap-style:none;z-index:251661312;mso-width-relative:page;mso-height-relative:page;" filled="f" stroked="f" coordsize="21600,21600" o:gfxdata="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qVyu9QAAAAHAQAADwAA&#10;AAAAAAABACAAAAAiAAAAZHJzL2Rvd25yZXYueG1sUEsBAhQAFAAAAAgAh07iQLq6MQDhAQAAuQMA&#10;AA4AAAAAAAAAAQAgAAAAIwEAAGRycy9lMm9Eb2MueG1sUEsFBgAAAAAGAAYAWQEAAHYFAAAAAA==&#10;">
              <v:fill on="f" focussize="0,0"/>
              <v:stroke on="f"/>
              <v:imagedata o:title=""/>
              <o:lock v:ext="edit" aspectratio="f"/>
              <v:textbox inset="0mm,0mm,0mm,0mm" style="mso-fit-shape-to-text:t;">
                <w:txbxContent>
                  <w:p w14:paraId="2CF76E4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MTAxNjk0MDRjZDg3MmU4ZWM4YTA1MzFkYWEwMjkifQ=="/>
  </w:docVars>
  <w:rsids>
    <w:rsidRoot w:val="006D6DE4"/>
    <w:rsid w:val="0000597F"/>
    <w:rsid w:val="00006568"/>
    <w:rsid w:val="000107FE"/>
    <w:rsid w:val="00014439"/>
    <w:rsid w:val="00016B17"/>
    <w:rsid w:val="000311F5"/>
    <w:rsid w:val="00033E17"/>
    <w:rsid w:val="000434EB"/>
    <w:rsid w:val="0004646E"/>
    <w:rsid w:val="000571F9"/>
    <w:rsid w:val="0006716D"/>
    <w:rsid w:val="000A69B5"/>
    <w:rsid w:val="000B2166"/>
    <w:rsid w:val="000B7438"/>
    <w:rsid w:val="000C5D4D"/>
    <w:rsid w:val="000D2098"/>
    <w:rsid w:val="000E6BED"/>
    <w:rsid w:val="000F7638"/>
    <w:rsid w:val="00102CC2"/>
    <w:rsid w:val="001039BE"/>
    <w:rsid w:val="00112BFB"/>
    <w:rsid w:val="001212A4"/>
    <w:rsid w:val="00131359"/>
    <w:rsid w:val="00132B55"/>
    <w:rsid w:val="00147380"/>
    <w:rsid w:val="00153C84"/>
    <w:rsid w:val="00170D75"/>
    <w:rsid w:val="00171F9A"/>
    <w:rsid w:val="00176E49"/>
    <w:rsid w:val="001822C4"/>
    <w:rsid w:val="00196931"/>
    <w:rsid w:val="001A3340"/>
    <w:rsid w:val="001C65B6"/>
    <w:rsid w:val="001C73A6"/>
    <w:rsid w:val="001D3F9B"/>
    <w:rsid w:val="001D537E"/>
    <w:rsid w:val="001D57B3"/>
    <w:rsid w:val="001E0CBA"/>
    <w:rsid w:val="001E6B2C"/>
    <w:rsid w:val="001F2FB4"/>
    <w:rsid w:val="001F554A"/>
    <w:rsid w:val="00214E3F"/>
    <w:rsid w:val="00215E39"/>
    <w:rsid w:val="0022124A"/>
    <w:rsid w:val="00230270"/>
    <w:rsid w:val="00231F84"/>
    <w:rsid w:val="00240FE8"/>
    <w:rsid w:val="00243072"/>
    <w:rsid w:val="00246F6F"/>
    <w:rsid w:val="00260435"/>
    <w:rsid w:val="00261A5B"/>
    <w:rsid w:val="0026589A"/>
    <w:rsid w:val="002818AF"/>
    <w:rsid w:val="00284D9E"/>
    <w:rsid w:val="00293826"/>
    <w:rsid w:val="002B38C7"/>
    <w:rsid w:val="002C5ACB"/>
    <w:rsid w:val="002D6453"/>
    <w:rsid w:val="00330063"/>
    <w:rsid w:val="0035127B"/>
    <w:rsid w:val="00363646"/>
    <w:rsid w:val="00364E09"/>
    <w:rsid w:val="00365DB4"/>
    <w:rsid w:val="00376DCF"/>
    <w:rsid w:val="00386E9C"/>
    <w:rsid w:val="00390264"/>
    <w:rsid w:val="003A5EB5"/>
    <w:rsid w:val="003C0699"/>
    <w:rsid w:val="003C76AD"/>
    <w:rsid w:val="003D60D6"/>
    <w:rsid w:val="003E4FA0"/>
    <w:rsid w:val="003E57E5"/>
    <w:rsid w:val="003E5B0B"/>
    <w:rsid w:val="003F3935"/>
    <w:rsid w:val="003F7DEC"/>
    <w:rsid w:val="00407DBC"/>
    <w:rsid w:val="00410B6F"/>
    <w:rsid w:val="0042605B"/>
    <w:rsid w:val="00435477"/>
    <w:rsid w:val="004619E0"/>
    <w:rsid w:val="00471FCF"/>
    <w:rsid w:val="004724F3"/>
    <w:rsid w:val="004728D4"/>
    <w:rsid w:val="00475A5A"/>
    <w:rsid w:val="00484930"/>
    <w:rsid w:val="004901D3"/>
    <w:rsid w:val="0049501E"/>
    <w:rsid w:val="004A3F6E"/>
    <w:rsid w:val="004A461D"/>
    <w:rsid w:val="004A7FD1"/>
    <w:rsid w:val="004C104F"/>
    <w:rsid w:val="004D38F6"/>
    <w:rsid w:val="004F7C45"/>
    <w:rsid w:val="00506306"/>
    <w:rsid w:val="00513B82"/>
    <w:rsid w:val="00513DD0"/>
    <w:rsid w:val="00514D48"/>
    <w:rsid w:val="00534B22"/>
    <w:rsid w:val="005436F1"/>
    <w:rsid w:val="005438FC"/>
    <w:rsid w:val="00565F2D"/>
    <w:rsid w:val="00571B20"/>
    <w:rsid w:val="0057311E"/>
    <w:rsid w:val="00580C1B"/>
    <w:rsid w:val="00581862"/>
    <w:rsid w:val="005A162C"/>
    <w:rsid w:val="005B57E3"/>
    <w:rsid w:val="005C06C5"/>
    <w:rsid w:val="005E3135"/>
    <w:rsid w:val="005F752F"/>
    <w:rsid w:val="00613A46"/>
    <w:rsid w:val="00621B36"/>
    <w:rsid w:val="00624F2C"/>
    <w:rsid w:val="00633A85"/>
    <w:rsid w:val="006363DF"/>
    <w:rsid w:val="00637490"/>
    <w:rsid w:val="00641C19"/>
    <w:rsid w:val="00642DCD"/>
    <w:rsid w:val="00647427"/>
    <w:rsid w:val="0066355B"/>
    <w:rsid w:val="00663A82"/>
    <w:rsid w:val="00665E4A"/>
    <w:rsid w:val="00667486"/>
    <w:rsid w:val="0067532D"/>
    <w:rsid w:val="00681A89"/>
    <w:rsid w:val="006A5CE9"/>
    <w:rsid w:val="006B2B8B"/>
    <w:rsid w:val="006C1634"/>
    <w:rsid w:val="006C2395"/>
    <w:rsid w:val="006D11C5"/>
    <w:rsid w:val="006D6DE4"/>
    <w:rsid w:val="006E43C8"/>
    <w:rsid w:val="006E7C32"/>
    <w:rsid w:val="006F3131"/>
    <w:rsid w:val="00721791"/>
    <w:rsid w:val="007258C5"/>
    <w:rsid w:val="00730FF7"/>
    <w:rsid w:val="0073240B"/>
    <w:rsid w:val="007662D0"/>
    <w:rsid w:val="007847DF"/>
    <w:rsid w:val="00785013"/>
    <w:rsid w:val="007B45F0"/>
    <w:rsid w:val="007B5BE9"/>
    <w:rsid w:val="007C234B"/>
    <w:rsid w:val="007D6B4E"/>
    <w:rsid w:val="007E0F84"/>
    <w:rsid w:val="007E1100"/>
    <w:rsid w:val="007E1E20"/>
    <w:rsid w:val="007E289F"/>
    <w:rsid w:val="007E3837"/>
    <w:rsid w:val="007E52C5"/>
    <w:rsid w:val="00822931"/>
    <w:rsid w:val="00831088"/>
    <w:rsid w:val="008334A3"/>
    <w:rsid w:val="00837598"/>
    <w:rsid w:val="008467EF"/>
    <w:rsid w:val="00846C46"/>
    <w:rsid w:val="00853CE3"/>
    <w:rsid w:val="00854E74"/>
    <w:rsid w:val="008554A4"/>
    <w:rsid w:val="008611E0"/>
    <w:rsid w:val="00861652"/>
    <w:rsid w:val="00865253"/>
    <w:rsid w:val="00876616"/>
    <w:rsid w:val="00877CAE"/>
    <w:rsid w:val="008852C9"/>
    <w:rsid w:val="00891354"/>
    <w:rsid w:val="008B3574"/>
    <w:rsid w:val="008C5C4A"/>
    <w:rsid w:val="008D47C3"/>
    <w:rsid w:val="008E18CC"/>
    <w:rsid w:val="008E6AF6"/>
    <w:rsid w:val="008F767D"/>
    <w:rsid w:val="00922860"/>
    <w:rsid w:val="009269C6"/>
    <w:rsid w:val="0093479E"/>
    <w:rsid w:val="0093751D"/>
    <w:rsid w:val="009560D1"/>
    <w:rsid w:val="00966B09"/>
    <w:rsid w:val="00975145"/>
    <w:rsid w:val="00993C9A"/>
    <w:rsid w:val="009A67D0"/>
    <w:rsid w:val="009B1781"/>
    <w:rsid w:val="009C1C0C"/>
    <w:rsid w:val="009C39B2"/>
    <w:rsid w:val="009C7B58"/>
    <w:rsid w:val="009F046B"/>
    <w:rsid w:val="009F2F01"/>
    <w:rsid w:val="00A01FD3"/>
    <w:rsid w:val="00A05A59"/>
    <w:rsid w:val="00A5036A"/>
    <w:rsid w:val="00A50E4F"/>
    <w:rsid w:val="00A60476"/>
    <w:rsid w:val="00A70E4B"/>
    <w:rsid w:val="00A803E8"/>
    <w:rsid w:val="00A85603"/>
    <w:rsid w:val="00A92BF5"/>
    <w:rsid w:val="00AC2BCD"/>
    <w:rsid w:val="00AE189A"/>
    <w:rsid w:val="00B15093"/>
    <w:rsid w:val="00B163D9"/>
    <w:rsid w:val="00B313EA"/>
    <w:rsid w:val="00B4748D"/>
    <w:rsid w:val="00B505C4"/>
    <w:rsid w:val="00B61F09"/>
    <w:rsid w:val="00B62E74"/>
    <w:rsid w:val="00B911A3"/>
    <w:rsid w:val="00B969E5"/>
    <w:rsid w:val="00BA63B3"/>
    <w:rsid w:val="00BD404F"/>
    <w:rsid w:val="00BF5F11"/>
    <w:rsid w:val="00C13C10"/>
    <w:rsid w:val="00C1426A"/>
    <w:rsid w:val="00C20CCC"/>
    <w:rsid w:val="00C27038"/>
    <w:rsid w:val="00C316F8"/>
    <w:rsid w:val="00C31BC7"/>
    <w:rsid w:val="00C32EB5"/>
    <w:rsid w:val="00C33759"/>
    <w:rsid w:val="00C47384"/>
    <w:rsid w:val="00C56925"/>
    <w:rsid w:val="00C57D7D"/>
    <w:rsid w:val="00C6156E"/>
    <w:rsid w:val="00C63C79"/>
    <w:rsid w:val="00C66AB9"/>
    <w:rsid w:val="00C7325B"/>
    <w:rsid w:val="00C8100A"/>
    <w:rsid w:val="00C90DDE"/>
    <w:rsid w:val="00C96BD1"/>
    <w:rsid w:val="00CA57ED"/>
    <w:rsid w:val="00CB5312"/>
    <w:rsid w:val="00CC2B68"/>
    <w:rsid w:val="00CE0A3D"/>
    <w:rsid w:val="00CE350D"/>
    <w:rsid w:val="00CF7FC6"/>
    <w:rsid w:val="00D02693"/>
    <w:rsid w:val="00D1221E"/>
    <w:rsid w:val="00D21019"/>
    <w:rsid w:val="00D23A9B"/>
    <w:rsid w:val="00D27A42"/>
    <w:rsid w:val="00D42A62"/>
    <w:rsid w:val="00D46DBD"/>
    <w:rsid w:val="00D62778"/>
    <w:rsid w:val="00D640C7"/>
    <w:rsid w:val="00D73E9E"/>
    <w:rsid w:val="00D764CA"/>
    <w:rsid w:val="00D9353B"/>
    <w:rsid w:val="00D968F7"/>
    <w:rsid w:val="00DE7BDB"/>
    <w:rsid w:val="00DF0EDE"/>
    <w:rsid w:val="00E04E36"/>
    <w:rsid w:val="00E07111"/>
    <w:rsid w:val="00E1173F"/>
    <w:rsid w:val="00E14FFE"/>
    <w:rsid w:val="00E16405"/>
    <w:rsid w:val="00E20A04"/>
    <w:rsid w:val="00E25301"/>
    <w:rsid w:val="00E61B7B"/>
    <w:rsid w:val="00E62C1A"/>
    <w:rsid w:val="00E64CD9"/>
    <w:rsid w:val="00E96D5E"/>
    <w:rsid w:val="00EA7868"/>
    <w:rsid w:val="00EB0D68"/>
    <w:rsid w:val="00EB592F"/>
    <w:rsid w:val="00EB71FE"/>
    <w:rsid w:val="00EB7864"/>
    <w:rsid w:val="00EC00AD"/>
    <w:rsid w:val="00ED70E3"/>
    <w:rsid w:val="00EE5BDA"/>
    <w:rsid w:val="00EE7377"/>
    <w:rsid w:val="00EF6EC4"/>
    <w:rsid w:val="00F15156"/>
    <w:rsid w:val="00F24E36"/>
    <w:rsid w:val="00F40D76"/>
    <w:rsid w:val="00F413C3"/>
    <w:rsid w:val="00F45450"/>
    <w:rsid w:val="00F45B7F"/>
    <w:rsid w:val="00F635CA"/>
    <w:rsid w:val="00F76653"/>
    <w:rsid w:val="00F82624"/>
    <w:rsid w:val="00F87CA1"/>
    <w:rsid w:val="00F91A4F"/>
    <w:rsid w:val="00F92150"/>
    <w:rsid w:val="00F96AFF"/>
    <w:rsid w:val="00FB71BB"/>
    <w:rsid w:val="00FD7FDC"/>
    <w:rsid w:val="00FE148A"/>
    <w:rsid w:val="00FE7A9F"/>
    <w:rsid w:val="00FE7DF8"/>
    <w:rsid w:val="00FF031D"/>
    <w:rsid w:val="02D66B7D"/>
    <w:rsid w:val="058C5960"/>
    <w:rsid w:val="08D005D2"/>
    <w:rsid w:val="0B4537F1"/>
    <w:rsid w:val="0BEE0E7D"/>
    <w:rsid w:val="0E027C40"/>
    <w:rsid w:val="1215380C"/>
    <w:rsid w:val="16196B4E"/>
    <w:rsid w:val="1B245109"/>
    <w:rsid w:val="1B56300E"/>
    <w:rsid w:val="1BB27180"/>
    <w:rsid w:val="21C612F9"/>
    <w:rsid w:val="223F157C"/>
    <w:rsid w:val="23C77503"/>
    <w:rsid w:val="25356B01"/>
    <w:rsid w:val="2CB57048"/>
    <w:rsid w:val="2D4D5B02"/>
    <w:rsid w:val="2E2D166D"/>
    <w:rsid w:val="2F2F2A47"/>
    <w:rsid w:val="31432433"/>
    <w:rsid w:val="321C56C6"/>
    <w:rsid w:val="33721EB4"/>
    <w:rsid w:val="38B05748"/>
    <w:rsid w:val="39530C1B"/>
    <w:rsid w:val="39827F20"/>
    <w:rsid w:val="3F0A7B24"/>
    <w:rsid w:val="42417F94"/>
    <w:rsid w:val="44426131"/>
    <w:rsid w:val="44780223"/>
    <w:rsid w:val="4522137C"/>
    <w:rsid w:val="45790EFE"/>
    <w:rsid w:val="46C65C18"/>
    <w:rsid w:val="47DF22D5"/>
    <w:rsid w:val="49753923"/>
    <w:rsid w:val="4D8507BC"/>
    <w:rsid w:val="502A6491"/>
    <w:rsid w:val="50BC5DF3"/>
    <w:rsid w:val="51CF5562"/>
    <w:rsid w:val="546F4C23"/>
    <w:rsid w:val="59D43CE4"/>
    <w:rsid w:val="60B9231D"/>
    <w:rsid w:val="698C639D"/>
    <w:rsid w:val="6BD46EF8"/>
    <w:rsid w:val="6C7C3EFC"/>
    <w:rsid w:val="706559AD"/>
    <w:rsid w:val="70B679FB"/>
    <w:rsid w:val="74B304E3"/>
    <w:rsid w:val="764B6285"/>
    <w:rsid w:val="79B94A00"/>
    <w:rsid w:val="7A593ADE"/>
    <w:rsid w:val="7E8F0089"/>
    <w:rsid w:val="7FB129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link w:val="12"/>
    <w:semiHidden/>
    <w:qFormat/>
    <w:uiPriority w:val="0"/>
    <w:rPr>
      <w:rFonts w:ascii="Times New Roman" w:hAnsi="Times New Roman"/>
    </w:rPr>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640" w:lineRule="exact"/>
    </w:pPr>
    <w:rPr>
      <w:b/>
      <w:bCs/>
      <w:w w:val="90"/>
      <w:sz w:val="44"/>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w:basedOn w:val="1"/>
    <w:link w:val="11"/>
    <w:qFormat/>
    <w:uiPriority w:val="0"/>
    <w:rPr>
      <w:rFonts w:ascii="Times New Roman" w:hAnsi="Times New Roman"/>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cs="宋体"/>
      <w:kern w:val="0"/>
      <w:szCs w:val="21"/>
    </w:rPr>
  </w:style>
  <w:style w:type="paragraph" w:customStyle="1" w:styleId="15">
    <w:name w:val="Char Char Char Char Char Char 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1531</Words>
  <Characters>1694</Characters>
  <Lines>3</Lines>
  <Paragraphs>1</Paragraphs>
  <TotalTime>0</TotalTime>
  <ScaleCrop>false</ScaleCrop>
  <LinksUpToDate>false</LinksUpToDate>
  <CharactersWithSpaces>1755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2016-03-17T09:28:00Z</dcterms:created>
  <dc:creator>11</dc:creator>
  <cp:lastModifiedBy>唐日超</cp:lastModifiedBy>
  <cp:lastPrinted>2020-05-12T02:41:00Z</cp:lastPrinted>
  <dcterms:modified xsi:type="dcterms:W3CDTF">2026-03-02T02:49:14Z</dcterms:modified>
  <dc:title>桂老函字［2011］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FC692D2255254179A1DF14A109417174_12</vt:lpwstr>
  </property>
  <property fmtid="{D5CDD505-2E9C-101B-9397-08002B2CF9AE}" pid="4" name="KSOTemplateDocerSaveRecord">
    <vt:lpwstr>eyJoZGlkIjoiNTBiMTAxNjk0MDRjZDg3MmU4ZWM4YTA1MzFkYWEwMjkiLCJ1c2VySWQiOiI1MTI5MDE2NzIifQ==</vt:lpwstr>
  </property>
</Properties>
</file>